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DD8" w:rsidRPr="00B55935" w:rsidRDefault="000E5DD8" w:rsidP="000E5DD8">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#88</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w:t>
      </w:r>
      <w:r w:rsidR="00856944">
        <w:rPr>
          <w:rFonts w:ascii="Calibri" w:eastAsia="新細明體" w:hAnsi="Calibri" w:cs="Arial"/>
          <w:noProof w:val="0"/>
          <w:sz w:val="24"/>
          <w:szCs w:val="24"/>
          <w:lang w:eastAsia="ja-JP"/>
        </w:rPr>
        <w:t>10021</w:t>
      </w:r>
    </w:p>
    <w:p w:rsidR="000E5DD8" w:rsidRPr="001800D2" w:rsidRDefault="000E5DD8" w:rsidP="000E5DD8">
      <w:pPr>
        <w:tabs>
          <w:tab w:val="left" w:pos="1985"/>
        </w:tabs>
        <w:jc w:val="both"/>
        <w:rPr>
          <w:rFonts w:ascii="Calibri" w:eastAsia="新細明體" w:hAnsi="Calibri" w:cs="Arial"/>
          <w:b/>
          <w:sz w:val="24"/>
          <w:szCs w:val="24"/>
          <w:lang w:eastAsia="ja-JP"/>
        </w:rPr>
      </w:pPr>
      <w:r w:rsidRPr="001800D2">
        <w:rPr>
          <w:rFonts w:ascii="Calibri" w:eastAsia="新細明體" w:hAnsi="Calibri" w:cs="Arial"/>
          <w:b/>
          <w:sz w:val="24"/>
          <w:szCs w:val="24"/>
          <w:lang w:eastAsia="ja-JP"/>
        </w:rPr>
        <w:t>Gothenburg, Sweden, August 20</w:t>
      </w:r>
      <w:r w:rsidRPr="00166A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–24</w:t>
      </w:r>
      <w:r w:rsidRPr="00166A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2018</w:t>
      </w:r>
    </w:p>
    <w:p w:rsidR="005E232D" w:rsidRPr="000E5DD8"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2C285C">
        <w:rPr>
          <w:rFonts w:cs="Arial"/>
          <w:b/>
          <w:bCs/>
          <w:sz w:val="24"/>
        </w:rPr>
        <w:t>7.11</w:t>
      </w:r>
      <w:r w:rsidR="00A82910">
        <w:rPr>
          <w:rFonts w:cs="Arial"/>
          <w:b/>
          <w:bCs/>
          <w:sz w:val="24"/>
        </w:rPr>
        <w:t>.8.4</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191CCD">
        <w:rPr>
          <w:b/>
          <w:bCs/>
          <w:sz w:val="24"/>
          <w:szCs w:val="24"/>
        </w:rPr>
        <w:t>BWP Switching</w:t>
      </w:r>
      <w:r w:rsidR="00E679C3">
        <w:rPr>
          <w:b/>
          <w:bCs/>
          <w:sz w:val="24"/>
          <w:szCs w:val="24"/>
        </w:rPr>
        <w:t xml:space="preserve"> </w:t>
      </w:r>
      <w:r w:rsidR="00790A36">
        <w:rPr>
          <w:b/>
          <w:bCs/>
          <w:sz w:val="24"/>
          <w:szCs w:val="24"/>
        </w:rPr>
        <w:t>Delay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4708EF" w:rsidRPr="00BF44DE" w:rsidRDefault="007807F4" w:rsidP="00BF44DE">
      <w:pPr>
        <w:pStyle w:val="a5"/>
        <w:jc w:val="both"/>
        <w:rPr>
          <w:rFonts w:asciiTheme="minorHAnsi" w:eastAsiaTheme="minorEastAsia" w:hAnsiTheme="minorHAnsi" w:cstheme="minorBidi"/>
          <w:b w:val="0"/>
          <w:sz w:val="22"/>
          <w:szCs w:val="22"/>
          <w:lang w:val="en-US" w:eastAsia="zh-TW"/>
        </w:rPr>
      </w:pPr>
      <w:bookmarkStart w:id="2" w:name="OLE_LINK1"/>
      <w:bookmarkStart w:id="3" w:name="OLE_LINK2"/>
      <w:bookmarkStart w:id="4" w:name="OLE_LINK132"/>
      <w:bookmarkStart w:id="5" w:name="OLE_LINK133"/>
      <w:r w:rsidRPr="00BF44DE">
        <w:rPr>
          <w:rFonts w:asciiTheme="minorHAnsi" w:eastAsiaTheme="minorEastAsia" w:hAnsiTheme="minorHAnsi" w:cstheme="minorBidi"/>
          <w:b w:val="0"/>
          <w:sz w:val="22"/>
          <w:szCs w:val="22"/>
          <w:lang w:val="en-US" w:eastAsia="zh-TW"/>
        </w:rPr>
        <w:t xml:space="preserve">In last RAN4 meeting, </w:t>
      </w:r>
      <w:r>
        <w:rPr>
          <w:rFonts w:asciiTheme="minorHAnsi" w:eastAsiaTheme="minorEastAsia" w:hAnsiTheme="minorHAnsi" w:cstheme="minorBidi"/>
          <w:b w:val="0"/>
          <w:sz w:val="22"/>
          <w:szCs w:val="22"/>
          <w:lang w:val="en-US" w:eastAsia="zh-TW"/>
        </w:rPr>
        <w:t>a WF [1] was agreed on requirements for BWP switching</w:t>
      </w:r>
      <w:r w:rsidR="002C5D22">
        <w:rPr>
          <w:rFonts w:asciiTheme="minorHAnsi" w:eastAsiaTheme="minorEastAsia" w:hAnsiTheme="minorHAnsi" w:cstheme="minorBidi"/>
          <w:b w:val="0"/>
          <w:sz w:val="22"/>
          <w:szCs w:val="22"/>
          <w:lang w:val="en-US" w:eastAsia="zh-TW"/>
        </w:rPr>
        <w:t xml:space="preserve"> delay</w:t>
      </w:r>
      <w:r w:rsidR="00A5653E">
        <w:rPr>
          <w:rFonts w:asciiTheme="minorHAnsi" w:eastAsiaTheme="minorEastAsia" w:hAnsiTheme="minorHAnsi" w:cstheme="minorBidi"/>
          <w:b w:val="0"/>
          <w:sz w:val="22"/>
          <w:szCs w:val="22"/>
          <w:lang w:val="en-US" w:eastAsia="zh-TW"/>
        </w:rPr>
        <w:t>, as</w:t>
      </w:r>
      <w:r>
        <w:rPr>
          <w:rFonts w:asciiTheme="minorHAnsi" w:eastAsiaTheme="minorEastAsia" w:hAnsiTheme="minorHAnsi" w:cstheme="minorBidi"/>
          <w:b w:val="0"/>
          <w:sz w:val="22"/>
          <w:szCs w:val="22"/>
          <w:lang w:val="en-US" w:eastAsia="zh-TW"/>
        </w:rPr>
        <w:t xml:space="preserve"> captured below:</w:t>
      </w:r>
    </w:p>
    <w:tbl>
      <w:tblPr>
        <w:tblStyle w:val="ad"/>
        <w:tblW w:w="0" w:type="auto"/>
        <w:tblInd w:w="-5" w:type="dxa"/>
        <w:tblLook w:val="04A0" w:firstRow="1" w:lastRow="0" w:firstColumn="1" w:lastColumn="0" w:noHBand="0" w:noVBand="1"/>
      </w:tblPr>
      <w:tblGrid>
        <w:gridCol w:w="9634"/>
      </w:tblGrid>
      <w:tr w:rsidR="004708EF" w:rsidRPr="00A9373E" w:rsidTr="00AC359E">
        <w:tc>
          <w:tcPr>
            <w:tcW w:w="9634" w:type="dxa"/>
          </w:tcPr>
          <w:p w:rsidR="00E5641C" w:rsidRPr="002C5D22" w:rsidRDefault="00E5641C" w:rsidP="00786FC5">
            <w:pPr>
              <w:numPr>
                <w:ilvl w:val="0"/>
                <w:numId w:val="8"/>
              </w:numPr>
              <w:ind w:left="360" w:hanging="357"/>
              <w:rPr>
                <w:rFonts w:ascii="Arial" w:hAnsi="Arial" w:cs="Arial"/>
                <w:sz w:val="18"/>
              </w:rPr>
            </w:pPr>
            <w:r w:rsidRPr="002C5D22">
              <w:rPr>
                <w:rFonts w:ascii="Arial" w:hAnsi="Arial" w:cs="Arial"/>
                <w:sz w:val="18"/>
              </w:rPr>
              <w:t xml:space="preserve">Depending on the proposals from interested companies, options to introduce new BWP switching delay are to be further discussed </w:t>
            </w:r>
          </w:p>
          <w:p w:rsidR="00E5641C" w:rsidRPr="002C5D22" w:rsidRDefault="00E5641C" w:rsidP="00786FC5">
            <w:pPr>
              <w:numPr>
                <w:ilvl w:val="1"/>
                <w:numId w:val="8"/>
              </w:numPr>
              <w:ind w:hanging="357"/>
              <w:rPr>
                <w:rFonts w:ascii="Arial" w:hAnsi="Arial" w:cs="Arial"/>
                <w:sz w:val="18"/>
              </w:rPr>
            </w:pPr>
            <w:r w:rsidRPr="002C5D22">
              <w:rPr>
                <w:rFonts w:ascii="Arial" w:hAnsi="Arial" w:cs="Arial"/>
                <w:sz w:val="18"/>
              </w:rPr>
              <w:t>Option 1: Keep type 1 and type 2 unchanged.</w:t>
            </w:r>
          </w:p>
          <w:p w:rsidR="00E5641C" w:rsidRPr="002C5D22" w:rsidRDefault="00E5641C" w:rsidP="00786FC5">
            <w:pPr>
              <w:numPr>
                <w:ilvl w:val="1"/>
                <w:numId w:val="8"/>
              </w:numPr>
              <w:ind w:hanging="357"/>
              <w:rPr>
                <w:rFonts w:ascii="Arial" w:hAnsi="Arial" w:cs="Arial"/>
                <w:sz w:val="18"/>
              </w:rPr>
            </w:pPr>
            <w:r w:rsidRPr="002C5D22">
              <w:rPr>
                <w:rFonts w:ascii="Arial" w:hAnsi="Arial" w:cs="Arial"/>
                <w:sz w:val="18"/>
              </w:rPr>
              <w:t>Option 2: Revise Type 1 delay and keep Type 2 unchanged.</w:t>
            </w:r>
          </w:p>
          <w:p w:rsidR="00E5641C" w:rsidRPr="002C5D22" w:rsidRDefault="00E5641C" w:rsidP="00786FC5">
            <w:pPr>
              <w:numPr>
                <w:ilvl w:val="1"/>
                <w:numId w:val="8"/>
              </w:numPr>
              <w:ind w:hanging="357"/>
              <w:rPr>
                <w:rFonts w:ascii="Arial" w:hAnsi="Arial" w:cs="Arial"/>
                <w:sz w:val="18"/>
              </w:rPr>
            </w:pPr>
            <w:r w:rsidRPr="002C5D22">
              <w:rPr>
                <w:rFonts w:ascii="Arial" w:hAnsi="Arial" w:cs="Arial"/>
                <w:sz w:val="18"/>
              </w:rPr>
              <w:t>Option 3: Keep Type 1 and 2 unchanged and introduce Type 3 delay more than 2ms.</w:t>
            </w:r>
          </w:p>
          <w:p w:rsidR="00E5641C" w:rsidRPr="002C5D22" w:rsidRDefault="00E5641C" w:rsidP="00786FC5">
            <w:pPr>
              <w:numPr>
                <w:ilvl w:val="1"/>
                <w:numId w:val="8"/>
              </w:numPr>
              <w:ind w:hanging="357"/>
              <w:rPr>
                <w:rFonts w:ascii="Arial" w:hAnsi="Arial" w:cs="Arial"/>
                <w:sz w:val="18"/>
              </w:rPr>
            </w:pPr>
            <w:r w:rsidRPr="002C5D22">
              <w:rPr>
                <w:rFonts w:ascii="Arial" w:hAnsi="Arial" w:cs="Arial"/>
                <w:sz w:val="18"/>
              </w:rPr>
              <w:t xml:space="preserve">Option 4: Revise type 1 delay less than 2ms, introduce type 3 delay more than 2ms and keep Type 2 unchanged. </w:t>
            </w:r>
          </w:p>
          <w:p w:rsidR="00E5641C" w:rsidRPr="002C5D22" w:rsidRDefault="00E5641C" w:rsidP="00786FC5">
            <w:pPr>
              <w:numPr>
                <w:ilvl w:val="1"/>
                <w:numId w:val="8"/>
              </w:numPr>
              <w:ind w:hanging="357"/>
              <w:rPr>
                <w:rFonts w:ascii="Arial" w:hAnsi="Arial" w:cs="Arial"/>
                <w:sz w:val="18"/>
              </w:rPr>
            </w:pPr>
            <w:r w:rsidRPr="002C5D22">
              <w:rPr>
                <w:rFonts w:ascii="Arial" w:hAnsi="Arial" w:cs="Arial"/>
                <w:sz w:val="18"/>
              </w:rPr>
              <w:t>If option 3 or 4 is agreed, an LS will be send to RAN2 to introduce Type 3 BWP switching delay.</w:t>
            </w:r>
          </w:p>
          <w:p w:rsidR="00E5641C" w:rsidRPr="002C5D22" w:rsidRDefault="00E5641C" w:rsidP="00786FC5">
            <w:pPr>
              <w:numPr>
                <w:ilvl w:val="0"/>
                <w:numId w:val="8"/>
              </w:numPr>
              <w:ind w:left="360" w:hanging="357"/>
              <w:rPr>
                <w:rFonts w:ascii="Arial" w:hAnsi="Arial" w:cs="Arial"/>
                <w:sz w:val="18"/>
              </w:rPr>
            </w:pPr>
            <w:r w:rsidRPr="002C5D22">
              <w:rPr>
                <w:rFonts w:ascii="Arial" w:hAnsi="Arial" w:cs="Arial"/>
                <w:sz w:val="18"/>
              </w:rPr>
              <w:t>Interested companies are encouraged to provide the analysis in RAN4#88 on the impact of long BWP switching delay (i.e. &gt;2ms) from both network and UE perspectives.</w:t>
            </w:r>
          </w:p>
          <w:p w:rsidR="00E5641C" w:rsidRPr="002C5D22" w:rsidRDefault="00E5641C" w:rsidP="00786FC5">
            <w:pPr>
              <w:numPr>
                <w:ilvl w:val="0"/>
                <w:numId w:val="8"/>
              </w:numPr>
              <w:ind w:left="360" w:hanging="357"/>
              <w:rPr>
                <w:rFonts w:ascii="Arial" w:hAnsi="Arial" w:cs="Arial"/>
                <w:sz w:val="18"/>
              </w:rPr>
            </w:pPr>
            <w:r w:rsidRPr="002C5D22">
              <w:rPr>
                <w:rFonts w:ascii="Arial" w:hAnsi="Arial" w:cs="Arial"/>
                <w:sz w:val="18"/>
              </w:rPr>
              <w:t xml:space="preserve">It is FFS if the delay for BWP switching involving only baseband parameter changes is the same as scenario 1/2/3 or scenario 4.  </w:t>
            </w:r>
          </w:p>
          <w:p w:rsidR="004708EF" w:rsidRPr="002C5D22" w:rsidRDefault="00E5641C" w:rsidP="00786FC5">
            <w:pPr>
              <w:numPr>
                <w:ilvl w:val="1"/>
                <w:numId w:val="8"/>
              </w:numPr>
              <w:ind w:hanging="357"/>
              <w:rPr>
                <w:rFonts w:ascii="Arial" w:hAnsi="Arial" w:cs="Arial"/>
                <w:sz w:val="18"/>
              </w:rPr>
            </w:pPr>
            <w:r w:rsidRPr="002C5D22">
              <w:rPr>
                <w:rFonts w:ascii="Arial" w:hAnsi="Arial" w:cs="Arial"/>
                <w:sz w:val="18"/>
              </w:rPr>
              <w:t>Interested companies are encouraged to provide the list of baseband parameters, which results in the corresponding BWP switching delay the same as scenario 1/2/3 or scenario 4.</w:t>
            </w:r>
          </w:p>
        </w:tc>
      </w:tr>
    </w:tbl>
    <w:p w:rsidR="00611FCD" w:rsidRDefault="001541C0" w:rsidP="001541C0">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 xml:space="preserve">Besides, </w:t>
      </w:r>
      <w:r w:rsidR="00BF5D78">
        <w:rPr>
          <w:rFonts w:asciiTheme="minorHAnsi" w:eastAsiaTheme="minorEastAsia" w:hAnsiTheme="minorHAnsi" w:cstheme="minorBidi"/>
          <w:b w:val="0"/>
          <w:sz w:val="22"/>
          <w:szCs w:val="22"/>
          <w:lang w:val="en-US" w:eastAsia="zh-TW"/>
        </w:rPr>
        <w:t xml:space="preserve">RAN4 </w:t>
      </w:r>
      <w:r>
        <w:rPr>
          <w:rFonts w:asciiTheme="minorHAnsi" w:eastAsiaTheme="minorEastAsia" w:hAnsiTheme="minorHAnsi" w:cstheme="minorBidi"/>
          <w:b w:val="0"/>
          <w:sz w:val="22"/>
          <w:szCs w:val="22"/>
          <w:lang w:val="en-US" w:eastAsia="zh-TW"/>
        </w:rPr>
        <w:t>agreed</w:t>
      </w:r>
      <w:r w:rsidR="00BF5D78">
        <w:rPr>
          <w:rFonts w:asciiTheme="minorHAnsi" w:eastAsiaTheme="minorEastAsia" w:hAnsiTheme="minorHAnsi" w:cstheme="minorBidi"/>
          <w:b w:val="0"/>
          <w:sz w:val="22"/>
          <w:szCs w:val="22"/>
          <w:lang w:val="en-US" w:eastAsia="zh-TW"/>
        </w:rPr>
        <w:t xml:space="preserve"> in the ad-hoc session [</w:t>
      </w:r>
      <w:r w:rsidR="00B6460D">
        <w:rPr>
          <w:rFonts w:asciiTheme="minorHAnsi" w:eastAsiaTheme="minorEastAsia" w:hAnsiTheme="minorHAnsi" w:cstheme="minorBidi"/>
          <w:b w:val="0"/>
          <w:sz w:val="22"/>
          <w:szCs w:val="22"/>
          <w:lang w:val="en-US" w:eastAsia="zh-TW"/>
        </w:rPr>
        <w:t>2</w:t>
      </w:r>
      <w:r w:rsidR="00BF5D78">
        <w:rPr>
          <w:rFonts w:asciiTheme="minorHAnsi" w:eastAsiaTheme="minorEastAsia" w:hAnsiTheme="minorHAnsi" w:cstheme="minorBidi"/>
          <w:b w:val="0"/>
          <w:sz w:val="22"/>
          <w:szCs w:val="22"/>
          <w:lang w:val="en-US" w:eastAsia="zh-TW"/>
        </w:rPr>
        <w:t>]</w:t>
      </w:r>
      <w:r>
        <w:rPr>
          <w:rFonts w:asciiTheme="minorHAnsi" w:eastAsiaTheme="minorEastAsia" w:hAnsiTheme="minorHAnsi" w:cstheme="minorBidi"/>
          <w:b w:val="0"/>
          <w:sz w:val="22"/>
          <w:szCs w:val="22"/>
          <w:lang w:val="en-US" w:eastAsia="zh-TW"/>
        </w:rPr>
        <w:t xml:space="preserve"> that</w:t>
      </w:r>
      <w:r w:rsidR="00BF5D78">
        <w:rPr>
          <w:rFonts w:asciiTheme="minorHAnsi" w:eastAsiaTheme="minorEastAsia" w:hAnsiTheme="minorHAnsi" w:cstheme="minorBidi"/>
          <w:b w:val="0"/>
          <w:sz w:val="22"/>
          <w:szCs w:val="22"/>
          <w:lang w:val="en-US" w:eastAsia="zh-TW"/>
        </w:rPr>
        <w:t xml:space="preserve"> </w:t>
      </w:r>
      <w:r w:rsidR="00B6460D">
        <w:rPr>
          <w:rFonts w:asciiTheme="minorHAnsi" w:eastAsiaTheme="minorEastAsia" w:hAnsiTheme="minorHAnsi" w:cstheme="minorBidi"/>
          <w:b w:val="0"/>
          <w:sz w:val="22"/>
          <w:szCs w:val="22"/>
          <w:lang w:val="en-US" w:eastAsia="zh-TW"/>
        </w:rPr>
        <w:t xml:space="preserve">same delay requirement apply for </w:t>
      </w:r>
      <w:r w:rsidR="00B6460D" w:rsidRPr="00B6460D">
        <w:rPr>
          <w:rFonts w:asciiTheme="minorHAnsi" w:eastAsiaTheme="minorEastAsia" w:hAnsiTheme="minorHAnsi" w:cstheme="minorBidi"/>
          <w:b w:val="0"/>
          <w:sz w:val="22"/>
          <w:szCs w:val="22"/>
          <w:lang w:val="en-US" w:eastAsia="zh-TW"/>
        </w:rPr>
        <w:t xml:space="preserve">DCI-based and timer-based </w:t>
      </w:r>
      <w:r w:rsidR="00B6460D">
        <w:rPr>
          <w:rFonts w:asciiTheme="minorHAnsi" w:eastAsiaTheme="minorEastAsia" w:hAnsiTheme="minorHAnsi" w:cstheme="minorBidi"/>
          <w:b w:val="0"/>
          <w:sz w:val="22"/>
          <w:szCs w:val="22"/>
          <w:lang w:val="en-US" w:eastAsia="zh-TW"/>
        </w:rPr>
        <w:t xml:space="preserve">BWP </w:t>
      </w:r>
      <w:r w:rsidR="00B6460D" w:rsidRPr="00B6460D">
        <w:rPr>
          <w:rFonts w:asciiTheme="minorHAnsi" w:eastAsiaTheme="minorEastAsia" w:hAnsiTheme="minorHAnsi" w:cstheme="minorBidi"/>
          <w:b w:val="0"/>
          <w:sz w:val="22"/>
          <w:szCs w:val="22"/>
          <w:lang w:val="en-US" w:eastAsia="zh-TW"/>
        </w:rPr>
        <w:t>switching</w:t>
      </w:r>
      <w:r w:rsidR="000A31AB">
        <w:rPr>
          <w:rFonts w:asciiTheme="minorHAnsi" w:eastAsiaTheme="minorEastAsia" w:hAnsiTheme="minorHAnsi" w:cstheme="minorBidi"/>
          <w:b w:val="0"/>
          <w:sz w:val="22"/>
          <w:szCs w:val="22"/>
          <w:lang w:val="en-US" w:eastAsia="zh-TW"/>
        </w:rPr>
        <w:t>, and o</w:t>
      </w:r>
      <w:r w:rsidR="000A31AB" w:rsidRPr="000A31AB">
        <w:rPr>
          <w:rFonts w:asciiTheme="minorHAnsi" w:eastAsiaTheme="minorEastAsia" w:hAnsiTheme="minorHAnsi" w:cstheme="minorBidi"/>
          <w:b w:val="0"/>
          <w:sz w:val="22"/>
          <w:szCs w:val="22"/>
          <w:lang w:val="en-US" w:eastAsia="zh-TW"/>
        </w:rPr>
        <w:t xml:space="preserve">ne CR [3] was also endorsed </w:t>
      </w:r>
      <w:r w:rsidR="000A31AB">
        <w:rPr>
          <w:rFonts w:asciiTheme="minorHAnsi" w:eastAsiaTheme="minorEastAsia" w:hAnsiTheme="minorHAnsi" w:cstheme="minorBidi"/>
          <w:b w:val="0"/>
          <w:sz w:val="22"/>
          <w:szCs w:val="22"/>
          <w:lang w:val="en-US" w:eastAsia="zh-TW"/>
        </w:rPr>
        <w:t>to provide</w:t>
      </w:r>
      <w:r w:rsidR="000A31AB" w:rsidRPr="000A31AB">
        <w:rPr>
          <w:rFonts w:asciiTheme="minorHAnsi" w:eastAsiaTheme="minorEastAsia" w:hAnsiTheme="minorHAnsi" w:cstheme="minorBidi"/>
          <w:b w:val="0"/>
          <w:sz w:val="22"/>
          <w:szCs w:val="22"/>
          <w:lang w:val="en-US" w:eastAsia="zh-TW"/>
        </w:rPr>
        <w:t xml:space="preserve"> the framework to capture the delay requirement in the unit of slot.</w:t>
      </w:r>
      <w:r w:rsidR="00217505">
        <w:rPr>
          <w:rFonts w:asciiTheme="minorHAnsi" w:eastAsiaTheme="minorEastAsia" w:hAnsiTheme="minorHAnsi" w:cstheme="minorBidi"/>
          <w:b w:val="0"/>
          <w:sz w:val="22"/>
          <w:szCs w:val="22"/>
          <w:lang w:val="en-US" w:eastAsia="zh-TW"/>
        </w:rPr>
        <w:t xml:space="preserve"> </w:t>
      </w:r>
    </w:p>
    <w:p w:rsidR="00217505" w:rsidRPr="00217505" w:rsidRDefault="00217505" w:rsidP="00217505">
      <w:pPr>
        <w:rPr>
          <w:lang w:eastAsia="zh-TW"/>
        </w:rPr>
      </w:pPr>
      <w:r>
        <w:rPr>
          <w:lang w:eastAsia="zh-TW"/>
        </w:rPr>
        <w:t>In this paper, we discuss the remaining issues on BWP switching delay.</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217505" w:rsidRDefault="001F1422" w:rsidP="00ED6BF8">
      <w:pPr>
        <w:jc w:val="both"/>
        <w:rPr>
          <w:rFonts w:eastAsia="SimSun" w:cs="Times New Roman"/>
          <w:lang w:eastAsia="x-none"/>
        </w:rPr>
      </w:pPr>
      <w:r>
        <w:rPr>
          <w:rFonts w:eastAsia="SimSun" w:cs="Times New Roman"/>
          <w:lang w:eastAsia="x-none"/>
        </w:rPr>
        <w:t xml:space="preserve">In [4], RAN4 replied an LS to RAN1 on the suggested delay (in us) for BWP switching. The delay considered 3 components: </w:t>
      </w:r>
      <w:r w:rsidRPr="001F1422">
        <w:rPr>
          <w:rFonts w:eastAsia="SimSun"/>
          <w:lang w:eastAsia="x-none"/>
        </w:rPr>
        <w:t>DCI parsing</w:t>
      </w:r>
      <w:r>
        <w:rPr>
          <w:rFonts w:eastAsia="SimSun"/>
          <w:lang w:eastAsia="x-none"/>
        </w:rPr>
        <w:t xml:space="preserve">, </w:t>
      </w:r>
      <w:r w:rsidRPr="001F1422">
        <w:rPr>
          <w:rFonts w:eastAsia="SimSun"/>
          <w:lang w:eastAsia="x-none"/>
        </w:rPr>
        <w:t>RF/BB parameter calculating and loading</w:t>
      </w:r>
      <w:r>
        <w:rPr>
          <w:rFonts w:eastAsia="SimSun"/>
          <w:lang w:eastAsia="x-none"/>
        </w:rPr>
        <w:t xml:space="preserve"> as well as applying the new parameters. Later in May meeting, RAN4 agreed </w:t>
      </w:r>
      <w:r w:rsidR="00CC21E9">
        <w:rPr>
          <w:rFonts w:eastAsia="SimSun"/>
          <w:lang w:eastAsia="x-none"/>
        </w:rPr>
        <w:t xml:space="preserve">[5] </w:t>
      </w:r>
      <w:r>
        <w:rPr>
          <w:rFonts w:eastAsia="SimSun"/>
          <w:lang w:eastAsia="x-none"/>
        </w:rPr>
        <w:t xml:space="preserve">to use the unit of slot </w:t>
      </w:r>
      <w:r w:rsidR="00CC21E9">
        <w:rPr>
          <w:rFonts w:eastAsia="SimSun"/>
          <w:lang w:eastAsia="x-none"/>
        </w:rPr>
        <w:t xml:space="preserve">to capture the delay requirement. This was implemented in CR [3]. </w:t>
      </w:r>
    </w:p>
    <w:tbl>
      <w:tblPr>
        <w:tblStyle w:val="ad"/>
        <w:tblW w:w="0" w:type="auto"/>
        <w:tblInd w:w="421" w:type="dxa"/>
        <w:tblLook w:val="04A0" w:firstRow="1" w:lastRow="0" w:firstColumn="1" w:lastColumn="0" w:noHBand="0" w:noVBand="1"/>
      </w:tblPr>
      <w:tblGrid>
        <w:gridCol w:w="9208"/>
      </w:tblGrid>
      <w:tr w:rsidR="00217505" w:rsidTr="00217505">
        <w:tc>
          <w:tcPr>
            <w:tcW w:w="9208" w:type="dxa"/>
          </w:tcPr>
          <w:p w:rsidR="00217505" w:rsidRPr="0008221A" w:rsidRDefault="00217505" w:rsidP="00217505">
            <w:pPr>
              <w:spacing w:after="120"/>
              <w:rPr>
                <w:sz w:val="18"/>
              </w:rPr>
            </w:pPr>
            <w:r w:rsidRPr="0008221A">
              <w:rPr>
                <w:sz w:val="18"/>
              </w:rPr>
              <w:t>F</w:t>
            </w:r>
            <w:r w:rsidRPr="0008221A">
              <w:rPr>
                <w:rFonts w:hint="eastAsia"/>
                <w:sz w:val="18"/>
              </w:rPr>
              <w:t xml:space="preserve">or </w:t>
            </w:r>
            <w:r w:rsidRPr="0008221A">
              <w:rPr>
                <w:sz w:val="18"/>
              </w:rPr>
              <w:t>DCI-based BWP switch, after the UE receives BWP switching request at slot n on a serving cell, UE shall be able to receive PDSCH (for DL active BWP switch) or transmit PUSCH (for UL active BWP switch) on the new BWP on the serving cell on which BWP switch occurs no later than at slot n+</w:t>
            </w:r>
            <w:r w:rsidRPr="0008221A">
              <w:rPr>
                <w:sz w:val="18"/>
                <w:highlight w:val="yellow"/>
              </w:rPr>
              <w:t>Y</w:t>
            </w:r>
            <w:r w:rsidRPr="0008221A">
              <w:rPr>
                <w:sz w:val="18"/>
              </w:rPr>
              <w:t xml:space="preserve">. </w:t>
            </w:r>
          </w:p>
          <w:p w:rsidR="00217505" w:rsidRDefault="00217505" w:rsidP="00217505">
            <w:pPr>
              <w:spacing w:after="120"/>
              <w:rPr>
                <w:rFonts w:eastAsia="SimSun" w:cs="Times New Roman"/>
                <w:lang w:eastAsia="x-none"/>
              </w:rPr>
            </w:pPr>
            <w:r w:rsidRPr="0008221A">
              <w:rPr>
                <w:sz w:val="18"/>
              </w:rPr>
              <w:t>For timer-based BWP switch, the UE shall start BWP switch at slot n, where n is the beginning of a subframe (FR1) or half-subframe (FR2) immediately after a BWP-inactivity timer expires on a serving cell, and the UE shall be able to receive PDSCH (for DL active BWP switch) or transmit PUSCH (for UL active BWP switch) on the new BWP on the serving cell on which BWP switch occurs no later than at slot n</w:t>
            </w:r>
            <w:r>
              <w:t>+</w:t>
            </w:r>
            <w:r w:rsidRPr="00CC21E9">
              <w:rPr>
                <w:highlight w:val="yellow"/>
              </w:rPr>
              <w:t>Y</w:t>
            </w:r>
            <w:r>
              <w:t>.</w:t>
            </w:r>
            <w:r w:rsidRPr="00322F12">
              <w:t xml:space="preserve"> </w:t>
            </w:r>
          </w:p>
        </w:tc>
      </w:tr>
    </w:tbl>
    <w:p w:rsidR="00CC21E9" w:rsidRDefault="00CC21E9" w:rsidP="00CC21E9">
      <w:pPr>
        <w:jc w:val="both"/>
        <w:rPr>
          <w:rFonts w:eastAsia="SimSun" w:cs="Times New Roman"/>
          <w:lang w:eastAsia="x-none"/>
        </w:rPr>
      </w:pPr>
      <w:r>
        <w:rPr>
          <w:rFonts w:eastAsia="SimSun"/>
          <w:lang w:eastAsia="x-none"/>
        </w:rPr>
        <w:t>T</w:t>
      </w:r>
      <w:r>
        <w:rPr>
          <w:rFonts w:eastAsia="SimSun" w:cs="Times New Roman"/>
          <w:lang w:eastAsia="x-none"/>
        </w:rPr>
        <w:t>he delay Y in the unit of slot needs to consider 2 additional margins, compared with the delay agreed in the previous LS [4]:</w:t>
      </w:r>
    </w:p>
    <w:p w:rsidR="00CC21E9" w:rsidRDefault="00CC21E9" w:rsidP="00CC21E9">
      <w:pPr>
        <w:pStyle w:val="a9"/>
        <w:numPr>
          <w:ilvl w:val="0"/>
          <w:numId w:val="13"/>
        </w:numPr>
        <w:jc w:val="both"/>
        <w:rPr>
          <w:rFonts w:eastAsia="SimSun" w:cs="Times New Roman"/>
          <w:lang w:eastAsia="x-none"/>
        </w:rPr>
      </w:pPr>
      <w:r w:rsidRPr="00CC21E9">
        <w:rPr>
          <w:rFonts w:eastAsia="SimSun" w:cs="Times New Roman"/>
          <w:lang w:eastAsia="x-none"/>
        </w:rPr>
        <w:t xml:space="preserve">OFDM symbols used to transmit PDCCH carrying the BWP switching </w:t>
      </w:r>
      <w:r>
        <w:rPr>
          <w:rFonts w:eastAsia="SimSun" w:cs="Times New Roman"/>
          <w:lang w:eastAsia="x-none"/>
        </w:rPr>
        <w:t>command</w:t>
      </w:r>
    </w:p>
    <w:p w:rsidR="00CC21E9" w:rsidRPr="00CC21E9" w:rsidRDefault="00CC21E9" w:rsidP="00CC21E9">
      <w:pPr>
        <w:pStyle w:val="a9"/>
        <w:numPr>
          <w:ilvl w:val="0"/>
          <w:numId w:val="13"/>
        </w:numPr>
        <w:jc w:val="both"/>
        <w:rPr>
          <w:rFonts w:eastAsia="SimSun" w:cs="Times New Roman"/>
          <w:lang w:eastAsia="x-none"/>
        </w:rPr>
      </w:pPr>
      <w:r>
        <w:rPr>
          <w:rFonts w:eastAsia="SimSun" w:cs="Times New Roman"/>
          <w:lang w:eastAsia="x-none"/>
        </w:rPr>
        <w:t>Alignment to the beginning of the next slot boundary for to receive/transmit in new BWP</w:t>
      </w:r>
    </w:p>
    <w:p w:rsidR="00217505" w:rsidRDefault="00217505" w:rsidP="00ED6BF8">
      <w:pPr>
        <w:jc w:val="both"/>
        <w:rPr>
          <w:rFonts w:eastAsia="SimSun" w:cs="Times New Roman"/>
          <w:lang w:eastAsia="x-none"/>
        </w:rPr>
      </w:pPr>
      <w:r>
        <w:rPr>
          <w:rFonts w:eastAsia="SimSun" w:cs="Times New Roman"/>
          <w:lang w:eastAsia="x-none"/>
        </w:rPr>
        <w:lastRenderedPageBreak/>
        <w:t xml:space="preserve">This is illustrated in </w:t>
      </w:r>
      <w:r w:rsidR="001F1422">
        <w:rPr>
          <w:rFonts w:eastAsia="SimSun" w:cs="Times New Roman"/>
          <w:lang w:eastAsia="x-none"/>
        </w:rPr>
        <w:fldChar w:fldCharType="begin"/>
      </w:r>
      <w:r w:rsidR="001F1422">
        <w:rPr>
          <w:rFonts w:eastAsia="SimSun" w:cs="Times New Roman"/>
          <w:lang w:eastAsia="x-none"/>
        </w:rPr>
        <w:instrText xml:space="preserve"> REF _Ref521409636 \h </w:instrText>
      </w:r>
      <w:r w:rsidR="001F1422">
        <w:rPr>
          <w:rFonts w:eastAsia="SimSun" w:cs="Times New Roman"/>
          <w:lang w:eastAsia="x-none"/>
        </w:rPr>
      </w:r>
      <w:r w:rsidR="001F1422">
        <w:rPr>
          <w:rFonts w:eastAsia="SimSun" w:cs="Times New Roman"/>
          <w:lang w:eastAsia="x-none"/>
        </w:rPr>
        <w:fldChar w:fldCharType="separate"/>
      </w:r>
      <w:r w:rsidR="0008221A">
        <w:t xml:space="preserve">Figure </w:t>
      </w:r>
      <w:r w:rsidR="0008221A">
        <w:rPr>
          <w:noProof/>
        </w:rPr>
        <w:t>1</w:t>
      </w:r>
      <w:r w:rsidR="001F1422">
        <w:rPr>
          <w:rFonts w:eastAsia="SimSun" w:cs="Times New Roman"/>
          <w:lang w:eastAsia="x-none"/>
        </w:rPr>
        <w:fldChar w:fldCharType="end"/>
      </w:r>
      <w:r w:rsidR="001F1422">
        <w:rPr>
          <w:rFonts w:eastAsia="SimSun" w:cs="Times New Roman"/>
          <w:lang w:eastAsia="x-none"/>
        </w:rPr>
        <w:t xml:space="preserve">. </w:t>
      </w:r>
      <w:r w:rsidR="00786FC5">
        <w:rPr>
          <w:rFonts w:eastAsia="SimSun" w:cs="Times New Roman"/>
          <w:lang w:eastAsia="x-none"/>
        </w:rPr>
        <w:t xml:space="preserve">This means both </w:t>
      </w:r>
      <w:r w:rsidR="00786FC5" w:rsidRPr="00786FC5">
        <w:rPr>
          <w:rFonts w:eastAsia="SimSun" w:cs="Times New Roman"/>
          <w:lang w:eastAsia="x-none"/>
        </w:rPr>
        <w:t xml:space="preserve">Type 1 and Type 2 delay </w:t>
      </w:r>
      <w:r w:rsidR="00786FC5">
        <w:rPr>
          <w:rFonts w:eastAsia="SimSun" w:cs="Times New Roman"/>
          <w:lang w:eastAsia="x-none"/>
        </w:rPr>
        <w:t xml:space="preserve">may </w:t>
      </w:r>
      <w:r w:rsidR="00786FC5" w:rsidRPr="00786FC5">
        <w:rPr>
          <w:rFonts w:eastAsia="SimSun" w:cs="Times New Roman"/>
          <w:lang w:eastAsia="x-none"/>
        </w:rPr>
        <w:t>need to be modified to accommodate at least the 2 additional margin.</w:t>
      </w:r>
    </w:p>
    <w:p w:rsidR="00217505" w:rsidRDefault="00CC21E9" w:rsidP="0008221A">
      <w:pPr>
        <w:jc w:val="center"/>
        <w:rPr>
          <w:rFonts w:eastAsia="SimSun" w:cs="Times New Roman"/>
          <w:lang w:eastAsia="x-none"/>
        </w:rPr>
      </w:pPr>
      <w:r w:rsidRPr="00CC21E9">
        <w:rPr>
          <w:noProof/>
          <w:lang w:eastAsia="zh-TW"/>
        </w:rPr>
        <w:drawing>
          <wp:inline distT="0" distB="0" distL="0" distR="0" wp14:anchorId="35B530F6" wp14:editId="03240FFC">
            <wp:extent cx="5311520" cy="1654648"/>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0768" cy="1657529"/>
                    </a:xfrm>
                    <a:prstGeom prst="rect">
                      <a:avLst/>
                    </a:prstGeom>
                    <a:noFill/>
                    <a:ln>
                      <a:noFill/>
                    </a:ln>
                  </pic:spPr>
                </pic:pic>
              </a:graphicData>
            </a:graphic>
          </wp:inline>
        </w:drawing>
      </w:r>
    </w:p>
    <w:p w:rsidR="001F1422" w:rsidRPr="001F1422" w:rsidRDefault="001F1422" w:rsidP="001F1422">
      <w:pPr>
        <w:pStyle w:val="a5"/>
        <w:jc w:val="center"/>
        <w:rPr>
          <w:lang w:val="en-US"/>
        </w:rPr>
      </w:pPr>
      <w:bookmarkStart w:id="6" w:name="_Ref521409636"/>
      <w:r>
        <w:t xml:space="preserve">Figure </w:t>
      </w:r>
      <w:r w:rsidR="00593178">
        <w:fldChar w:fldCharType="begin"/>
      </w:r>
      <w:r w:rsidR="00593178">
        <w:instrText xml:space="preserve"> SEQ Figure \* ARABIC </w:instrText>
      </w:r>
      <w:r w:rsidR="00593178">
        <w:fldChar w:fldCharType="separate"/>
      </w:r>
      <w:r w:rsidR="0008221A">
        <w:rPr>
          <w:noProof/>
        </w:rPr>
        <w:t>1</w:t>
      </w:r>
      <w:r w:rsidR="00593178">
        <w:rPr>
          <w:noProof/>
        </w:rPr>
        <w:fldChar w:fldCharType="end"/>
      </w:r>
      <w:bookmarkEnd w:id="6"/>
      <w:r>
        <w:rPr>
          <w:lang w:val="en-US"/>
        </w:rPr>
        <w:t>. Two additional margins to be considered in</w:t>
      </w:r>
      <w:r>
        <w:t xml:space="preserve"> BWP switching</w:t>
      </w:r>
      <w:r>
        <w:rPr>
          <w:lang w:val="en-US"/>
        </w:rPr>
        <w:t xml:space="preserve"> delay </w:t>
      </w:r>
    </w:p>
    <w:p w:rsidR="00217505" w:rsidRPr="001F1422" w:rsidRDefault="00217505" w:rsidP="001F1422">
      <w:pPr>
        <w:jc w:val="center"/>
        <w:rPr>
          <w:rFonts w:eastAsia="SimSun" w:cs="Times New Roman"/>
          <w:lang w:eastAsia="x-none"/>
        </w:rPr>
      </w:pPr>
    </w:p>
    <w:p w:rsidR="009B1E8F" w:rsidRDefault="00CC21E9" w:rsidP="0008221A">
      <w:pPr>
        <w:pStyle w:val="a5"/>
        <w:jc w:val="both"/>
        <w:rPr>
          <w:lang w:val="en-US"/>
        </w:rPr>
      </w:pPr>
      <w:bookmarkStart w:id="7" w:name="_Ref521436426"/>
      <w:r>
        <w:t xml:space="preserve">Observation </w:t>
      </w:r>
      <w:r w:rsidR="00593178">
        <w:fldChar w:fldCharType="begin"/>
      </w:r>
      <w:r w:rsidR="00593178">
        <w:instrText xml:space="preserve"> SEQ Observation \* ARABIC </w:instrText>
      </w:r>
      <w:r w:rsidR="00593178">
        <w:fldChar w:fldCharType="separate"/>
      </w:r>
      <w:r w:rsidR="0008221A">
        <w:rPr>
          <w:noProof/>
        </w:rPr>
        <w:t>1</w:t>
      </w:r>
      <w:r w:rsidR="00593178">
        <w:rPr>
          <w:noProof/>
        </w:rPr>
        <w:fldChar w:fldCharType="end"/>
      </w:r>
      <w:r>
        <w:rPr>
          <w:lang w:val="en-US"/>
        </w:rPr>
        <w:t xml:space="preserve">: The final delay requirement to be captured in TS38.133 needs to consider the additional margin for </w:t>
      </w:r>
      <w:r w:rsidR="006002F7">
        <w:rPr>
          <w:lang w:val="en-US"/>
        </w:rPr>
        <w:t>OFDM symbols that carrying BWP switching command and the alignment to the beginning of the slot boundary for new BWP.</w:t>
      </w:r>
      <w:bookmarkEnd w:id="7"/>
    </w:p>
    <w:p w:rsidR="002D0B61" w:rsidRPr="002D0B61" w:rsidRDefault="002D0B61" w:rsidP="00FE5337">
      <w:pPr>
        <w:jc w:val="both"/>
        <w:rPr>
          <w:rFonts w:ascii="Times New Roman" w:eastAsia="SimSun" w:hAnsi="Times New Roman" w:cs="Times New Roman"/>
          <w:b/>
          <w:sz w:val="20"/>
          <w:szCs w:val="20"/>
          <w:lang w:eastAsia="x-none"/>
        </w:rPr>
      </w:pPr>
      <w:bookmarkStart w:id="8" w:name="_Ref521436430"/>
      <w:r w:rsidRPr="002D0B61">
        <w:rPr>
          <w:rFonts w:ascii="Times New Roman" w:eastAsia="SimSun" w:hAnsi="Times New Roman" w:cs="Times New Roman"/>
          <w:b/>
          <w:sz w:val="20"/>
          <w:szCs w:val="20"/>
          <w:lang w:eastAsia="x-none"/>
        </w:rPr>
        <w:t xml:space="preserve">Observation </w:t>
      </w:r>
      <w:r w:rsidRPr="002D0B61">
        <w:rPr>
          <w:rFonts w:ascii="Times New Roman" w:eastAsia="SimSun" w:hAnsi="Times New Roman" w:cs="Times New Roman"/>
          <w:b/>
          <w:sz w:val="20"/>
          <w:szCs w:val="20"/>
          <w:lang w:eastAsia="x-none"/>
        </w:rPr>
        <w:fldChar w:fldCharType="begin"/>
      </w:r>
      <w:r w:rsidRPr="002D0B61">
        <w:rPr>
          <w:rFonts w:ascii="Times New Roman" w:eastAsia="SimSun" w:hAnsi="Times New Roman" w:cs="Times New Roman"/>
          <w:b/>
          <w:sz w:val="20"/>
          <w:szCs w:val="20"/>
          <w:lang w:eastAsia="x-none"/>
        </w:rPr>
        <w:instrText xml:space="preserve"> SEQ Observation \* ARABIC </w:instrText>
      </w:r>
      <w:r w:rsidRPr="002D0B61">
        <w:rPr>
          <w:rFonts w:ascii="Times New Roman" w:eastAsia="SimSun" w:hAnsi="Times New Roman" w:cs="Times New Roman"/>
          <w:b/>
          <w:sz w:val="20"/>
          <w:szCs w:val="20"/>
          <w:lang w:eastAsia="x-none"/>
        </w:rPr>
        <w:fldChar w:fldCharType="separate"/>
      </w:r>
      <w:r w:rsidRPr="002D0B61">
        <w:rPr>
          <w:rFonts w:ascii="Times New Roman" w:eastAsia="SimSun" w:hAnsi="Times New Roman" w:cs="Times New Roman"/>
          <w:b/>
          <w:sz w:val="20"/>
          <w:szCs w:val="20"/>
          <w:lang w:eastAsia="x-none"/>
        </w:rPr>
        <w:t>2</w:t>
      </w:r>
      <w:r w:rsidRPr="002D0B61">
        <w:rPr>
          <w:rFonts w:ascii="Times New Roman" w:eastAsia="SimSun" w:hAnsi="Times New Roman" w:cs="Times New Roman"/>
          <w:b/>
          <w:sz w:val="20"/>
          <w:szCs w:val="20"/>
          <w:lang w:eastAsia="x-none"/>
        </w:rPr>
        <w:fldChar w:fldCharType="end"/>
      </w:r>
      <w:r w:rsidRPr="002D0B61">
        <w:rPr>
          <w:rFonts w:ascii="Times New Roman" w:eastAsia="SimSun" w:hAnsi="Times New Roman" w:cs="Times New Roman"/>
          <w:b/>
          <w:sz w:val="20"/>
          <w:szCs w:val="20"/>
          <w:lang w:eastAsia="x-none"/>
        </w:rPr>
        <w:t xml:space="preserve">: Both Type 1 and Type 2 delay need to be modified to accommodate </w:t>
      </w:r>
      <w:r>
        <w:rPr>
          <w:rFonts w:ascii="Times New Roman" w:eastAsia="SimSun" w:hAnsi="Times New Roman" w:cs="Times New Roman"/>
          <w:b/>
          <w:sz w:val="20"/>
          <w:szCs w:val="20"/>
          <w:lang w:eastAsia="x-none"/>
        </w:rPr>
        <w:t xml:space="preserve">at least </w:t>
      </w:r>
      <w:r w:rsidRPr="002D0B61">
        <w:rPr>
          <w:rFonts w:ascii="Times New Roman" w:eastAsia="SimSun" w:hAnsi="Times New Roman" w:cs="Times New Roman"/>
          <w:b/>
          <w:sz w:val="20"/>
          <w:szCs w:val="20"/>
          <w:lang w:eastAsia="x-none"/>
        </w:rPr>
        <w:t>the 2 additional margin.</w:t>
      </w:r>
      <w:bookmarkEnd w:id="8"/>
    </w:p>
    <w:p w:rsidR="006002F7" w:rsidRDefault="003B1EF9" w:rsidP="00640C49">
      <w:pPr>
        <w:jc w:val="both"/>
        <w:rPr>
          <w:lang w:eastAsia="x-none"/>
        </w:rPr>
      </w:pPr>
      <w:r>
        <w:rPr>
          <w:lang w:eastAsia="x-none"/>
        </w:rPr>
        <w:t xml:space="preserve">Therefore, in the following, we will directly discuss the delay with the above 2 additional margin </w:t>
      </w:r>
      <w:r w:rsidR="00640C49">
        <w:rPr>
          <w:lang w:eastAsia="x-none"/>
        </w:rPr>
        <w:t>considered</w:t>
      </w:r>
      <w:r>
        <w:rPr>
          <w:lang w:eastAsia="x-none"/>
        </w:rPr>
        <w:t>.</w:t>
      </w:r>
    </w:p>
    <w:p w:rsidR="003B1EF9" w:rsidRDefault="003B1EF9" w:rsidP="009B1E8F">
      <w:pPr>
        <w:rPr>
          <w:lang w:eastAsia="x-none"/>
        </w:rPr>
      </w:pPr>
    </w:p>
    <w:p w:rsidR="004F497A" w:rsidRDefault="0008221A" w:rsidP="0008221A">
      <w:pPr>
        <w:jc w:val="both"/>
        <w:rPr>
          <w:rFonts w:eastAsia="SimSun" w:cs="Times New Roman"/>
          <w:lang w:eastAsia="x-none"/>
        </w:rPr>
      </w:pPr>
      <w:r>
        <w:rPr>
          <w:lang w:eastAsia="x-none"/>
        </w:rPr>
        <w:t>It was agreed in last meeting [1] that companies can further provide view</w:t>
      </w:r>
      <w:r w:rsidR="00640C49">
        <w:rPr>
          <w:lang w:eastAsia="x-none"/>
        </w:rPr>
        <w:t>s</w:t>
      </w:r>
      <w:r>
        <w:rPr>
          <w:lang w:eastAsia="x-none"/>
        </w:rPr>
        <w:t xml:space="preserve"> on the delay requirement</w:t>
      </w:r>
      <w:r w:rsidR="008B358F">
        <w:rPr>
          <w:lang w:eastAsia="x-none"/>
        </w:rPr>
        <w:t>s</w:t>
      </w:r>
      <w:r>
        <w:rPr>
          <w:lang w:eastAsia="x-none"/>
        </w:rPr>
        <w:t xml:space="preserve"> and check if RAN4 needs to revise the delay of Type 1 and Type 2, or even add a</w:t>
      </w:r>
      <w:r w:rsidR="00A47474">
        <w:rPr>
          <w:lang w:eastAsia="x-none"/>
        </w:rPr>
        <w:t xml:space="preserve"> new</w:t>
      </w:r>
      <w:r>
        <w:rPr>
          <w:lang w:eastAsia="x-none"/>
        </w:rPr>
        <w:t xml:space="preserve"> Type 3. In our understanding, Type 1 delay is infeasible. So it anyway needs to be modified. Taking </w:t>
      </w:r>
      <w:r w:rsidR="003C3018">
        <w:rPr>
          <w:lang w:eastAsia="x-none"/>
        </w:rPr>
        <w:t>15 KHz</w:t>
      </w:r>
      <w:r>
        <w:rPr>
          <w:lang w:eastAsia="x-none"/>
        </w:rPr>
        <w:t xml:space="preserve"> </w:t>
      </w:r>
      <w:r w:rsidR="003C3018">
        <w:rPr>
          <w:lang w:eastAsia="x-none"/>
        </w:rPr>
        <w:t xml:space="preserve">SCS </w:t>
      </w:r>
      <w:r>
        <w:rPr>
          <w:lang w:eastAsia="x-none"/>
        </w:rPr>
        <w:t>as an example,</w:t>
      </w:r>
      <w:r w:rsidR="004F497A">
        <w:rPr>
          <w:lang w:eastAsia="x-none"/>
        </w:rPr>
        <w:t xml:space="preserve"> the estimated time needed for each </w:t>
      </w:r>
      <w:r w:rsidR="003C3018">
        <w:rPr>
          <w:lang w:eastAsia="x-none"/>
        </w:rPr>
        <w:t>phase</w:t>
      </w:r>
      <w:r w:rsidR="004F497A">
        <w:rPr>
          <w:lang w:eastAsia="x-none"/>
        </w:rPr>
        <w:t xml:space="preserve"> in </w:t>
      </w:r>
      <w:r w:rsidR="004F497A">
        <w:rPr>
          <w:rFonts w:eastAsia="SimSun" w:cs="Times New Roman"/>
          <w:lang w:eastAsia="x-none"/>
        </w:rPr>
        <w:fldChar w:fldCharType="begin"/>
      </w:r>
      <w:r w:rsidR="004F497A">
        <w:rPr>
          <w:rFonts w:eastAsia="SimSun" w:cs="Times New Roman"/>
          <w:lang w:eastAsia="x-none"/>
        </w:rPr>
        <w:instrText xml:space="preserve"> REF _Ref521409636 \h </w:instrText>
      </w:r>
      <w:r w:rsidR="004F497A">
        <w:rPr>
          <w:rFonts w:eastAsia="SimSun" w:cs="Times New Roman"/>
          <w:lang w:eastAsia="x-none"/>
        </w:rPr>
      </w:r>
      <w:r w:rsidR="004F497A">
        <w:rPr>
          <w:rFonts w:eastAsia="SimSun" w:cs="Times New Roman"/>
          <w:lang w:eastAsia="x-none"/>
        </w:rPr>
        <w:fldChar w:fldCharType="separate"/>
      </w:r>
      <w:r w:rsidR="004F497A">
        <w:t xml:space="preserve">Figure </w:t>
      </w:r>
      <w:r w:rsidR="004F497A">
        <w:rPr>
          <w:noProof/>
        </w:rPr>
        <w:t>1</w:t>
      </w:r>
      <w:r w:rsidR="004F497A">
        <w:rPr>
          <w:rFonts w:eastAsia="SimSun" w:cs="Times New Roman"/>
          <w:lang w:eastAsia="x-none"/>
        </w:rPr>
        <w:fldChar w:fldCharType="end"/>
      </w:r>
      <w:r w:rsidR="004F497A">
        <w:rPr>
          <w:rFonts w:eastAsia="SimSun" w:cs="Times New Roman"/>
          <w:lang w:eastAsia="x-none"/>
        </w:rPr>
        <w:t xml:space="preserve"> for a </w:t>
      </w:r>
      <w:r w:rsidR="00271B4F">
        <w:rPr>
          <w:rFonts w:eastAsia="SimSun" w:cs="Times New Roman"/>
          <w:lang w:eastAsia="x-none"/>
        </w:rPr>
        <w:t>baseline</w:t>
      </w:r>
      <w:r w:rsidR="004F497A">
        <w:rPr>
          <w:rFonts w:eastAsia="SimSun" w:cs="Times New Roman"/>
          <w:lang w:eastAsia="x-none"/>
        </w:rPr>
        <w:t xml:space="preserve"> UE are listed below</w:t>
      </w:r>
    </w:p>
    <w:p w:rsidR="004F497A" w:rsidRDefault="00FD20B8" w:rsidP="00FD20B8">
      <w:pPr>
        <w:ind w:left="851" w:hanging="491"/>
        <w:jc w:val="both"/>
        <w:rPr>
          <w:lang w:eastAsia="x-none"/>
        </w:rPr>
      </w:pPr>
      <w:r>
        <w:rPr>
          <w:lang w:eastAsia="x-none"/>
        </w:rPr>
        <w:t xml:space="preserve">Phase 1) </w:t>
      </w:r>
      <w:r w:rsidR="004F497A">
        <w:rPr>
          <w:lang w:eastAsia="x-none"/>
        </w:rPr>
        <w:t>PDCCH transmission: 3 OFDM symbols (232us)</w:t>
      </w:r>
    </w:p>
    <w:p w:rsidR="004F497A" w:rsidRDefault="00FD20B8" w:rsidP="00FD20B8">
      <w:pPr>
        <w:ind w:left="851" w:hanging="491"/>
        <w:jc w:val="both"/>
        <w:rPr>
          <w:lang w:eastAsia="x-none"/>
        </w:rPr>
      </w:pPr>
      <w:r>
        <w:rPr>
          <w:lang w:eastAsia="x-none"/>
        </w:rPr>
        <w:t xml:space="preserve">Phase 2) </w:t>
      </w:r>
      <w:r w:rsidR="004F497A">
        <w:rPr>
          <w:lang w:eastAsia="x-none"/>
        </w:rPr>
        <w:t>PDCCH decoding and DCI parsing: 3 to 4 OFDM symbols (250us)</w:t>
      </w:r>
    </w:p>
    <w:p w:rsidR="003B1EF9" w:rsidRPr="004F497A" w:rsidRDefault="00FD20B8" w:rsidP="00FD20B8">
      <w:pPr>
        <w:ind w:left="851" w:hanging="491"/>
        <w:jc w:val="both"/>
        <w:rPr>
          <w:lang w:eastAsia="x-none"/>
        </w:rPr>
      </w:pPr>
      <w:r>
        <w:rPr>
          <w:lang w:eastAsia="x-none"/>
        </w:rPr>
        <w:t xml:space="preserve">Phase 3) </w:t>
      </w:r>
      <w:r w:rsidR="004F497A" w:rsidRPr="004F497A">
        <w:rPr>
          <w:lang w:eastAsia="x-none"/>
        </w:rPr>
        <w:t>RF/BB parameter calculating and loading</w:t>
      </w:r>
      <w:r w:rsidR="004F497A">
        <w:rPr>
          <w:lang w:eastAsia="x-none"/>
        </w:rPr>
        <w:t>: This</w:t>
      </w:r>
      <w:r w:rsidR="006A59E7">
        <w:rPr>
          <w:lang w:eastAsia="x-none"/>
        </w:rPr>
        <w:t xml:space="preserve"> part</w:t>
      </w:r>
      <w:r w:rsidR="004F497A">
        <w:rPr>
          <w:lang w:eastAsia="x-none"/>
        </w:rPr>
        <w:t xml:space="preserve"> is </w:t>
      </w:r>
      <w:r w:rsidR="003E24CD">
        <w:rPr>
          <w:lang w:eastAsia="x-none"/>
        </w:rPr>
        <w:t xml:space="preserve">highly </w:t>
      </w:r>
      <w:r w:rsidR="004F497A">
        <w:rPr>
          <w:lang w:eastAsia="x-none"/>
        </w:rPr>
        <w:t xml:space="preserve">UE implementation dependent. </w:t>
      </w:r>
      <w:r w:rsidR="00FA6B5D">
        <w:rPr>
          <w:lang w:eastAsia="x-none"/>
        </w:rPr>
        <w:t>Besides the time needed to load and re-calculating BB/RF parameters</w:t>
      </w:r>
      <w:r w:rsidR="009A59DA">
        <w:rPr>
          <w:lang w:eastAsia="x-none"/>
        </w:rPr>
        <w:t>,</w:t>
      </w:r>
      <w:r w:rsidR="00FA6B5D">
        <w:rPr>
          <w:lang w:eastAsia="x-none"/>
        </w:rPr>
        <w:t xml:space="preserve"> </w:t>
      </w:r>
      <w:r w:rsidR="009A59DA">
        <w:rPr>
          <w:lang w:eastAsia="x-none"/>
        </w:rPr>
        <w:t>t</w:t>
      </w:r>
      <w:r w:rsidR="00FA6B5D">
        <w:rPr>
          <w:lang w:eastAsia="x-none"/>
        </w:rPr>
        <w:t>here is an additional time that needs to be considered. Typically</w:t>
      </w:r>
      <w:r w:rsidR="009A59DA">
        <w:rPr>
          <w:lang w:eastAsia="x-none"/>
        </w:rPr>
        <w:t>,</w:t>
      </w:r>
      <w:r w:rsidR="00FA6B5D">
        <w:rPr>
          <w:lang w:eastAsia="x-none"/>
        </w:rPr>
        <w:t xml:space="preserve"> UE </w:t>
      </w:r>
      <w:r w:rsidR="002E423B">
        <w:rPr>
          <w:lang w:eastAsia="x-none"/>
        </w:rPr>
        <w:t>is only</w:t>
      </w:r>
      <w:r w:rsidR="00FA6B5D">
        <w:rPr>
          <w:lang w:eastAsia="x-none"/>
        </w:rPr>
        <w:t xml:space="preserve"> able to</w:t>
      </w:r>
      <w:r w:rsidR="00272FBA">
        <w:rPr>
          <w:lang w:eastAsia="x-none"/>
        </w:rPr>
        <w:t xml:space="preserve"> </w:t>
      </w:r>
      <w:r w:rsidR="00FA6B5D">
        <w:rPr>
          <w:lang w:eastAsia="x-none"/>
        </w:rPr>
        <w:t>apply</w:t>
      </w:r>
      <w:r w:rsidR="00272FBA">
        <w:rPr>
          <w:lang w:eastAsia="x-none"/>
        </w:rPr>
        <w:t xml:space="preserve"> </w:t>
      </w:r>
      <w:r w:rsidR="00FA6B5D">
        <w:rPr>
          <w:lang w:eastAsia="x-none"/>
        </w:rPr>
        <w:t xml:space="preserve">new parameters to </w:t>
      </w:r>
      <w:r w:rsidR="003B1EF9">
        <w:rPr>
          <w:lang w:eastAsia="x-none"/>
        </w:rPr>
        <w:t>module</w:t>
      </w:r>
      <w:r w:rsidR="00FA6B5D">
        <w:rPr>
          <w:lang w:eastAsia="x-none"/>
        </w:rPr>
        <w:t>s</w:t>
      </w:r>
      <w:r w:rsidR="00272FBA">
        <w:rPr>
          <w:lang w:eastAsia="x-none"/>
        </w:rPr>
        <w:t xml:space="preserve"> at some </w:t>
      </w:r>
      <w:r w:rsidR="00FC30AC">
        <w:rPr>
          <w:lang w:eastAsia="x-none"/>
        </w:rPr>
        <w:t>specific</w:t>
      </w:r>
      <w:r w:rsidR="00272FBA">
        <w:rPr>
          <w:lang w:eastAsia="x-none"/>
        </w:rPr>
        <w:t xml:space="preserve"> time granularity</w:t>
      </w:r>
      <w:r w:rsidR="009A59DA">
        <w:rPr>
          <w:lang w:eastAsia="x-none"/>
        </w:rPr>
        <w:t xml:space="preserve"> of </w:t>
      </w:r>
      <w:r w:rsidR="00FA6B5D">
        <w:rPr>
          <w:lang w:eastAsia="x-none"/>
        </w:rPr>
        <w:t>software tick</w:t>
      </w:r>
      <w:r w:rsidR="00272FBA">
        <w:rPr>
          <w:lang w:eastAsia="x-none"/>
        </w:rPr>
        <w:t>. The smaller the granularity requires a higher UE implementation complexity</w:t>
      </w:r>
      <w:r w:rsidR="003B1EF9">
        <w:rPr>
          <w:lang w:eastAsia="x-none"/>
        </w:rPr>
        <w:t xml:space="preserve">. </w:t>
      </w:r>
      <w:r w:rsidR="00FA6B5D">
        <w:rPr>
          <w:lang w:eastAsia="x-none"/>
        </w:rPr>
        <w:t xml:space="preserve">In our understanding, we can use the slot </w:t>
      </w:r>
      <w:r w:rsidR="002837BE">
        <w:rPr>
          <w:lang w:eastAsia="x-none"/>
        </w:rPr>
        <w:t>duration</w:t>
      </w:r>
      <w:r w:rsidR="00FA6B5D">
        <w:rPr>
          <w:lang w:eastAsia="x-none"/>
        </w:rPr>
        <w:t xml:space="preserve"> of 15KHz SCS as the </w:t>
      </w:r>
      <w:r w:rsidR="000936D5">
        <w:rPr>
          <w:lang w:eastAsia="x-none"/>
        </w:rPr>
        <w:t>baseline</w:t>
      </w:r>
      <w:r w:rsidR="00FA6B5D">
        <w:rPr>
          <w:lang w:eastAsia="x-none"/>
        </w:rPr>
        <w:t xml:space="preserve"> for the tick granularity</w:t>
      </w:r>
      <w:r w:rsidR="003B7469">
        <w:rPr>
          <w:lang w:eastAsia="x-none"/>
        </w:rPr>
        <w:t>.</w:t>
      </w:r>
      <w:r w:rsidR="009A59DA">
        <w:rPr>
          <w:lang w:eastAsia="x-none"/>
        </w:rPr>
        <w:t xml:space="preserve"> Then it is possible for a normal UE to finish this phase in </w:t>
      </w:r>
      <w:r w:rsidR="003B7469">
        <w:rPr>
          <w:lang w:eastAsia="x-none"/>
        </w:rPr>
        <w:t>1ms ~ 1.5ms</w:t>
      </w:r>
      <w:r w:rsidR="009A59DA">
        <w:rPr>
          <w:lang w:eastAsia="x-none"/>
        </w:rPr>
        <w:t>.</w:t>
      </w:r>
    </w:p>
    <w:p w:rsidR="004F497A" w:rsidRPr="004F497A" w:rsidRDefault="00FD20B8" w:rsidP="00FD20B8">
      <w:pPr>
        <w:ind w:left="851" w:hanging="491"/>
        <w:jc w:val="both"/>
        <w:rPr>
          <w:lang w:eastAsia="x-none"/>
        </w:rPr>
      </w:pPr>
      <w:r>
        <w:rPr>
          <w:lang w:eastAsia="x-none"/>
        </w:rPr>
        <w:t xml:space="preserve">Phase 4) </w:t>
      </w:r>
      <w:r w:rsidR="004F497A">
        <w:rPr>
          <w:lang w:eastAsia="x-none"/>
        </w:rPr>
        <w:t xml:space="preserve">Applying the new parameters: </w:t>
      </w:r>
      <w:r w:rsidR="00AF23C1">
        <w:rPr>
          <w:lang w:eastAsia="x-none"/>
        </w:rPr>
        <w:t>We can directly f</w:t>
      </w:r>
      <w:r w:rsidR="004F497A">
        <w:rPr>
          <w:lang w:eastAsia="x-none"/>
        </w:rPr>
        <w:t xml:space="preserve">ollow </w:t>
      </w:r>
      <w:r w:rsidR="00E1201C">
        <w:rPr>
          <w:lang w:eastAsia="x-none"/>
        </w:rPr>
        <w:t xml:space="preserve">the interruption in </w:t>
      </w:r>
      <w:r w:rsidR="004F497A">
        <w:rPr>
          <w:lang w:eastAsia="x-none"/>
        </w:rPr>
        <w:t>SCell activation as agreed when discussing BWP interruption (500us)</w:t>
      </w:r>
    </w:p>
    <w:p w:rsidR="00173644" w:rsidRDefault="00173644" w:rsidP="004F497A">
      <w:pPr>
        <w:jc w:val="both"/>
        <w:rPr>
          <w:lang w:eastAsia="x-none"/>
        </w:rPr>
      </w:pPr>
      <w:r>
        <w:rPr>
          <w:lang w:eastAsia="x-none"/>
        </w:rPr>
        <w:t>A</w:t>
      </w:r>
      <w:r w:rsidR="00271B4F">
        <w:rPr>
          <w:lang w:eastAsia="x-none"/>
        </w:rPr>
        <w:t xml:space="preserve"> baseline</w:t>
      </w:r>
      <w:r w:rsidR="003B1EF9">
        <w:rPr>
          <w:lang w:eastAsia="x-none"/>
        </w:rPr>
        <w:t xml:space="preserve"> UE </w:t>
      </w:r>
      <w:r w:rsidR="009A59DA">
        <w:rPr>
          <w:lang w:eastAsia="x-none"/>
        </w:rPr>
        <w:t>may take roughly 3ms to finish the overall BWP switching</w:t>
      </w:r>
      <w:r w:rsidR="003C3018">
        <w:rPr>
          <w:lang w:eastAsia="x-none"/>
        </w:rPr>
        <w:t xml:space="preserve"> for scenarios 1, 2 and 3</w:t>
      </w:r>
      <w:r w:rsidR="009A59DA">
        <w:rPr>
          <w:lang w:eastAsia="x-none"/>
        </w:rPr>
        <w:t xml:space="preserve">. </w:t>
      </w:r>
      <w:r w:rsidR="003C3018">
        <w:rPr>
          <w:lang w:eastAsia="x-none"/>
        </w:rPr>
        <w:t xml:space="preserve">For scenario 4, the time needed for PDCCH transmission, PDCCH decoding and DCI parsing </w:t>
      </w:r>
      <w:r w:rsidR="00B63111">
        <w:rPr>
          <w:lang w:eastAsia="x-none"/>
        </w:rPr>
        <w:t>remain</w:t>
      </w:r>
      <w:r w:rsidR="003C3018">
        <w:rPr>
          <w:lang w:eastAsia="x-none"/>
        </w:rPr>
        <w:t xml:space="preserve"> the same, but UE needs less time for the last 2 phases.</w:t>
      </w:r>
      <w:r>
        <w:rPr>
          <w:lang w:eastAsia="x-none"/>
        </w:rPr>
        <w:t xml:space="preserve"> We think 2ms would be a reasonable value</w:t>
      </w:r>
      <w:r w:rsidR="00B50DD3">
        <w:rPr>
          <w:lang w:eastAsia="x-none"/>
        </w:rPr>
        <w:t xml:space="preserve"> for overall delay</w:t>
      </w:r>
      <w:r>
        <w:rPr>
          <w:lang w:eastAsia="x-none"/>
        </w:rPr>
        <w:t xml:space="preserve">. </w:t>
      </w:r>
    </w:p>
    <w:p w:rsidR="00173644" w:rsidRDefault="00825D95" w:rsidP="004F497A">
      <w:pPr>
        <w:jc w:val="both"/>
        <w:rPr>
          <w:lang w:eastAsia="x-none"/>
        </w:rPr>
      </w:pPr>
      <w:r>
        <w:rPr>
          <w:lang w:eastAsia="x-none"/>
        </w:rPr>
        <w:t>Regarding</w:t>
      </w:r>
      <w:r w:rsidR="00B4671D">
        <w:rPr>
          <w:lang w:eastAsia="x-none"/>
        </w:rPr>
        <w:t xml:space="preserve"> other</w:t>
      </w:r>
      <w:r w:rsidR="009A59DA">
        <w:rPr>
          <w:lang w:eastAsia="x-none"/>
        </w:rPr>
        <w:t xml:space="preserve"> advanced UE</w:t>
      </w:r>
      <w:r w:rsidR="00173644">
        <w:rPr>
          <w:lang w:eastAsia="x-none"/>
        </w:rPr>
        <w:t>s</w:t>
      </w:r>
      <w:r w:rsidR="009A59DA">
        <w:rPr>
          <w:lang w:eastAsia="x-none"/>
        </w:rPr>
        <w:t xml:space="preserve">, </w:t>
      </w:r>
      <w:r w:rsidR="00173644">
        <w:rPr>
          <w:lang w:eastAsia="x-none"/>
        </w:rPr>
        <w:t xml:space="preserve">we think the current requirement for Type 2 delay can be directly applied. For scenarios 1, 2 and 3, we can include the </w:t>
      </w:r>
      <w:r w:rsidR="005E2A85">
        <w:rPr>
          <w:lang w:eastAsia="x-none"/>
        </w:rPr>
        <w:t xml:space="preserve">2 </w:t>
      </w:r>
      <w:r w:rsidR="004636D9">
        <w:rPr>
          <w:lang w:eastAsia="x-none"/>
        </w:rPr>
        <w:t xml:space="preserve">above-mentioned </w:t>
      </w:r>
      <w:r w:rsidR="00173644">
        <w:rPr>
          <w:lang w:eastAsia="x-none"/>
        </w:rPr>
        <w:t>additional margin</w:t>
      </w:r>
      <w:r w:rsidR="005E2A85">
        <w:rPr>
          <w:lang w:eastAsia="x-none"/>
        </w:rPr>
        <w:t>s</w:t>
      </w:r>
      <w:r w:rsidR="00173644">
        <w:rPr>
          <w:lang w:eastAsia="x-none"/>
        </w:rPr>
        <w:t xml:space="preserve"> </w:t>
      </w:r>
      <w:r w:rsidR="005E2A85">
        <w:rPr>
          <w:lang w:eastAsia="x-none"/>
        </w:rPr>
        <w:t xml:space="preserve">within </w:t>
      </w:r>
      <w:r w:rsidR="00173644">
        <w:rPr>
          <w:lang w:eastAsia="x-none"/>
        </w:rPr>
        <w:t xml:space="preserve">the </w:t>
      </w:r>
      <w:r w:rsidR="007E6901">
        <w:rPr>
          <w:lang w:eastAsia="x-none"/>
        </w:rPr>
        <w:t xml:space="preserve">current </w:t>
      </w:r>
      <w:r w:rsidR="00173644">
        <w:rPr>
          <w:lang w:eastAsia="x-none"/>
        </w:rPr>
        <w:t xml:space="preserve">2us delay. For scenario 4, 950us could be too tight to </w:t>
      </w:r>
      <w:r w:rsidR="004636D9">
        <w:rPr>
          <w:lang w:eastAsia="x-none"/>
        </w:rPr>
        <w:t xml:space="preserve">further </w:t>
      </w:r>
      <w:r w:rsidR="00173644">
        <w:rPr>
          <w:lang w:eastAsia="x-none"/>
        </w:rPr>
        <w:t xml:space="preserve">include the 3 PDCCH symbols. Therefore, we suggest </w:t>
      </w:r>
      <w:r w:rsidR="002F38A2">
        <w:rPr>
          <w:lang w:eastAsia="x-none"/>
        </w:rPr>
        <w:t xml:space="preserve">to add it a little bit and round it to </w:t>
      </w:r>
      <w:r w:rsidR="00173644">
        <w:rPr>
          <w:lang w:eastAsia="x-none"/>
        </w:rPr>
        <w:t xml:space="preserve">1500us. </w:t>
      </w:r>
    </w:p>
    <w:p w:rsidR="003B1EF9" w:rsidRDefault="006A7A64" w:rsidP="004F497A">
      <w:pPr>
        <w:jc w:val="both"/>
        <w:rPr>
          <w:lang w:eastAsia="x-none"/>
        </w:rPr>
      </w:pPr>
      <w:r>
        <w:rPr>
          <w:lang w:eastAsia="x-none"/>
        </w:rPr>
        <w:lastRenderedPageBreak/>
        <w:t xml:space="preserve">The </w:t>
      </w:r>
      <w:r w:rsidR="009A59DA">
        <w:rPr>
          <w:lang w:eastAsia="x-none"/>
        </w:rPr>
        <w:t>revise</w:t>
      </w:r>
      <w:r>
        <w:rPr>
          <w:lang w:eastAsia="x-none"/>
        </w:rPr>
        <w:t>d delay for</w:t>
      </w:r>
      <w:r w:rsidR="009A59DA">
        <w:rPr>
          <w:lang w:eastAsia="x-none"/>
        </w:rPr>
        <w:t xml:space="preserve"> Type 1 and Type 2 </w:t>
      </w:r>
      <w:r>
        <w:rPr>
          <w:lang w:eastAsia="x-none"/>
        </w:rPr>
        <w:t>are provided in</w:t>
      </w:r>
      <w:r w:rsidR="009A59DA">
        <w:rPr>
          <w:lang w:eastAsia="x-none"/>
        </w:rPr>
        <w:t xml:space="preserve"> </w:t>
      </w:r>
      <w:r w:rsidR="005B4DFB">
        <w:rPr>
          <w:lang w:eastAsia="x-none"/>
        </w:rPr>
        <w:fldChar w:fldCharType="begin"/>
      </w:r>
      <w:r w:rsidR="005B4DFB">
        <w:rPr>
          <w:lang w:eastAsia="x-none"/>
        </w:rPr>
        <w:instrText xml:space="preserve"> REF _Ref521417356 \h </w:instrText>
      </w:r>
      <w:r w:rsidR="005B4DFB">
        <w:rPr>
          <w:lang w:eastAsia="x-none"/>
        </w:rPr>
      </w:r>
      <w:r w:rsidR="005B4DFB">
        <w:rPr>
          <w:lang w:eastAsia="x-none"/>
        </w:rPr>
        <w:fldChar w:fldCharType="separate"/>
      </w:r>
      <w:r w:rsidR="005B4DFB">
        <w:t xml:space="preserve">Table </w:t>
      </w:r>
      <w:r w:rsidR="005B4DFB">
        <w:rPr>
          <w:noProof/>
        </w:rPr>
        <w:t>1</w:t>
      </w:r>
      <w:r w:rsidR="005B4DFB">
        <w:rPr>
          <w:lang w:eastAsia="x-none"/>
        </w:rPr>
        <w:fldChar w:fldCharType="end"/>
      </w:r>
      <w:r w:rsidR="005B4DFB">
        <w:rPr>
          <w:lang w:eastAsia="x-none"/>
        </w:rPr>
        <w:t>.</w:t>
      </w:r>
    </w:p>
    <w:p w:rsidR="009A59DA" w:rsidRPr="005B4DFB" w:rsidRDefault="005B4DFB" w:rsidP="005B4DFB">
      <w:pPr>
        <w:pStyle w:val="a5"/>
        <w:jc w:val="center"/>
        <w:rPr>
          <w:lang w:val="en-US"/>
        </w:rPr>
      </w:pPr>
      <w:bookmarkStart w:id="9" w:name="_Ref521417356"/>
      <w:r>
        <w:t xml:space="preserve">Table </w:t>
      </w:r>
      <w:r w:rsidR="00593178">
        <w:fldChar w:fldCharType="begin"/>
      </w:r>
      <w:r w:rsidR="00593178">
        <w:instrText xml:space="preserve"> SEQ Table \* ARABIC </w:instrText>
      </w:r>
      <w:r w:rsidR="00593178">
        <w:fldChar w:fldCharType="separate"/>
      </w:r>
      <w:r w:rsidR="00506AD8">
        <w:rPr>
          <w:noProof/>
        </w:rPr>
        <w:t>1</w:t>
      </w:r>
      <w:r w:rsidR="00593178">
        <w:rPr>
          <w:noProof/>
        </w:rPr>
        <w:fldChar w:fldCharType="end"/>
      </w:r>
      <w:bookmarkEnd w:id="9"/>
      <w:r>
        <w:rPr>
          <w:lang w:val="en-US"/>
        </w:rPr>
        <w:t xml:space="preserve"> Suggested </w:t>
      </w:r>
      <w:r w:rsidR="008E1E56">
        <w:rPr>
          <w:lang w:val="en-US"/>
        </w:rPr>
        <w:t xml:space="preserve">BWP switching </w:t>
      </w:r>
      <w:r>
        <w:rPr>
          <w:lang w:val="en-US"/>
        </w:rPr>
        <w:t>delay (in the unit of us)</w:t>
      </w:r>
    </w:p>
    <w:tbl>
      <w:tblPr>
        <w:tblW w:w="6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977"/>
        <w:gridCol w:w="1757"/>
        <w:gridCol w:w="1757"/>
      </w:tblGrid>
      <w:tr w:rsidR="005B4DFB" w:rsidRPr="00A20B44" w:rsidTr="005B4DFB">
        <w:trPr>
          <w:trHeight w:val="279"/>
          <w:jc w:val="center"/>
        </w:trPr>
        <w:tc>
          <w:tcPr>
            <w:tcW w:w="1757" w:type="dxa"/>
            <w:shd w:val="clear" w:color="000000" w:fill="D9D9D9"/>
            <w:vAlign w:val="center"/>
            <w:hideMark/>
          </w:tcPr>
          <w:p w:rsidR="005B4DFB" w:rsidRPr="00A20B44" w:rsidRDefault="005B4DFB" w:rsidP="005B4DFB">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Frequency Range</w:t>
            </w:r>
          </w:p>
        </w:tc>
        <w:tc>
          <w:tcPr>
            <w:tcW w:w="977" w:type="dxa"/>
            <w:shd w:val="clear" w:color="000000" w:fill="D9D9D9"/>
            <w:vAlign w:val="center"/>
            <w:hideMark/>
          </w:tcPr>
          <w:p w:rsidR="005B4DFB" w:rsidRPr="00A20B44" w:rsidRDefault="005B4DFB" w:rsidP="005B4DFB">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Scenario</w:t>
            </w:r>
          </w:p>
        </w:tc>
        <w:tc>
          <w:tcPr>
            <w:tcW w:w="1757" w:type="dxa"/>
            <w:shd w:val="clear" w:color="000000" w:fill="D9D9D9"/>
            <w:vAlign w:val="center"/>
            <w:hideMark/>
          </w:tcPr>
          <w:p w:rsidR="005B4DFB" w:rsidRPr="00A20B44" w:rsidRDefault="005B4DFB" w:rsidP="005B4DFB">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Type 1</w:t>
            </w:r>
            <w:r>
              <w:rPr>
                <w:rFonts w:ascii="Arial" w:eastAsia="SimSun" w:hAnsi="Arial" w:cs="Arial"/>
                <w:b/>
                <w:bCs/>
                <w:sz w:val="18"/>
                <w:szCs w:val="18"/>
                <w:lang w:eastAsia="en-US"/>
              </w:rPr>
              <w:t xml:space="preserve"> d</w:t>
            </w:r>
            <w:r w:rsidRPr="00A20B44">
              <w:rPr>
                <w:rFonts w:ascii="Arial" w:eastAsia="SimSun" w:hAnsi="Arial" w:cs="Arial"/>
                <w:b/>
                <w:bCs/>
                <w:sz w:val="18"/>
                <w:szCs w:val="18"/>
                <w:lang w:eastAsia="en-US"/>
              </w:rPr>
              <w:t xml:space="preserve">elay </w:t>
            </w:r>
            <w:r>
              <w:rPr>
                <w:rFonts w:ascii="Arial" w:eastAsia="SimSun" w:hAnsi="Arial" w:cs="Arial"/>
                <w:b/>
                <w:bCs/>
                <w:sz w:val="18"/>
                <w:szCs w:val="18"/>
                <w:lang w:eastAsia="en-US"/>
              </w:rPr>
              <w:t>X us</w:t>
            </w:r>
          </w:p>
        </w:tc>
        <w:tc>
          <w:tcPr>
            <w:tcW w:w="1757" w:type="dxa"/>
            <w:shd w:val="clear" w:color="000000" w:fill="D9D9D9"/>
            <w:vAlign w:val="center"/>
          </w:tcPr>
          <w:p w:rsidR="005B4DFB" w:rsidRPr="00A20B44" w:rsidRDefault="005B4DFB" w:rsidP="005B4DFB">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Type 2</w:t>
            </w:r>
            <w:r>
              <w:rPr>
                <w:rFonts w:ascii="Arial" w:eastAsia="SimSun" w:hAnsi="Arial" w:cs="Arial"/>
                <w:b/>
                <w:bCs/>
                <w:sz w:val="18"/>
                <w:szCs w:val="18"/>
                <w:lang w:eastAsia="en-US"/>
              </w:rPr>
              <w:t xml:space="preserve"> d</w:t>
            </w:r>
            <w:r w:rsidRPr="00A20B44">
              <w:rPr>
                <w:rFonts w:ascii="Arial" w:eastAsia="SimSun" w:hAnsi="Arial" w:cs="Arial"/>
                <w:b/>
                <w:bCs/>
                <w:sz w:val="18"/>
                <w:szCs w:val="18"/>
                <w:lang w:eastAsia="en-US"/>
              </w:rPr>
              <w:t xml:space="preserve">elay </w:t>
            </w:r>
            <w:r>
              <w:rPr>
                <w:rFonts w:ascii="Arial" w:eastAsia="SimSun" w:hAnsi="Arial" w:cs="Arial"/>
                <w:b/>
                <w:bCs/>
                <w:sz w:val="18"/>
                <w:szCs w:val="18"/>
                <w:lang w:eastAsia="en-US"/>
              </w:rPr>
              <w:t>X us</w:t>
            </w:r>
          </w:p>
        </w:tc>
      </w:tr>
      <w:tr w:rsidR="008F73A0" w:rsidRPr="00A20B44" w:rsidTr="005B4DFB">
        <w:trPr>
          <w:trHeight w:val="279"/>
          <w:jc w:val="center"/>
        </w:trPr>
        <w:tc>
          <w:tcPr>
            <w:tcW w:w="1757" w:type="dxa"/>
            <w:vMerge w:val="restart"/>
            <w:shd w:val="clear" w:color="auto" w:fill="auto"/>
            <w:vAlign w:val="center"/>
            <w:hideMark/>
          </w:tcPr>
          <w:p w:rsidR="008F73A0" w:rsidRPr="00A20B44" w:rsidRDefault="008F73A0" w:rsidP="008F73A0">
            <w:pPr>
              <w:spacing w:after="0" w:line="240" w:lineRule="auto"/>
              <w:jc w:val="center"/>
              <w:rPr>
                <w:rFonts w:ascii="Arial" w:eastAsia="SimSun" w:hAnsi="Arial" w:cs="Arial"/>
                <w:sz w:val="18"/>
                <w:szCs w:val="18"/>
                <w:lang w:eastAsia="en-US"/>
              </w:rPr>
            </w:pPr>
            <w:r w:rsidRPr="00A20B44">
              <w:rPr>
                <w:rFonts w:ascii="Arial" w:eastAsia="SimSun" w:hAnsi="Arial" w:cs="Arial"/>
                <w:sz w:val="18"/>
                <w:szCs w:val="18"/>
                <w:lang w:eastAsia="en-US"/>
              </w:rPr>
              <w:t>1</w:t>
            </w:r>
            <w:r>
              <w:rPr>
                <w:rFonts w:ascii="Arial" w:eastAsia="SimSun" w:hAnsi="Arial" w:cs="Arial"/>
                <w:sz w:val="18"/>
                <w:szCs w:val="18"/>
                <w:lang w:eastAsia="en-US"/>
              </w:rPr>
              <w:t xml:space="preserve"> and 2</w:t>
            </w:r>
          </w:p>
        </w:tc>
        <w:tc>
          <w:tcPr>
            <w:tcW w:w="977" w:type="dxa"/>
            <w:shd w:val="clear" w:color="auto" w:fill="auto"/>
            <w:vAlign w:val="center"/>
            <w:hideMark/>
          </w:tcPr>
          <w:p w:rsidR="008F73A0" w:rsidRPr="00A20B44" w:rsidRDefault="008F73A0" w:rsidP="008F73A0">
            <w:pPr>
              <w:spacing w:after="0" w:line="240" w:lineRule="auto"/>
              <w:jc w:val="center"/>
              <w:rPr>
                <w:rFonts w:ascii="Arial" w:eastAsia="SimSun" w:hAnsi="Arial" w:cs="Arial"/>
                <w:sz w:val="18"/>
                <w:szCs w:val="18"/>
                <w:lang w:eastAsia="en-US"/>
              </w:rPr>
            </w:pPr>
            <w:r w:rsidRPr="00A20B44">
              <w:rPr>
                <w:rFonts w:ascii="Arial" w:eastAsia="SimSun" w:hAnsi="Arial" w:cs="Arial"/>
                <w:sz w:val="18"/>
                <w:szCs w:val="18"/>
                <w:lang w:eastAsia="en-US"/>
              </w:rPr>
              <w:t>1</w:t>
            </w:r>
            <w:r>
              <w:rPr>
                <w:rFonts w:ascii="Arial" w:eastAsia="SimSun" w:hAnsi="Arial" w:cs="Arial"/>
                <w:sz w:val="18"/>
                <w:szCs w:val="18"/>
                <w:lang w:eastAsia="en-US"/>
              </w:rPr>
              <w:t>, 2, 3</w:t>
            </w:r>
          </w:p>
        </w:tc>
        <w:tc>
          <w:tcPr>
            <w:tcW w:w="1757" w:type="dxa"/>
            <w:shd w:val="clear" w:color="auto" w:fill="auto"/>
            <w:vAlign w:val="center"/>
            <w:hideMark/>
          </w:tcPr>
          <w:p w:rsidR="008F73A0" w:rsidRPr="00A20B44" w:rsidRDefault="008F73A0" w:rsidP="008F73A0">
            <w:pPr>
              <w:spacing w:after="0" w:line="240" w:lineRule="auto"/>
              <w:jc w:val="center"/>
              <w:rPr>
                <w:rFonts w:ascii="Arial" w:eastAsia="SimSun" w:hAnsi="Arial" w:cs="Arial"/>
                <w:sz w:val="18"/>
                <w:szCs w:val="18"/>
                <w:lang w:eastAsia="en-US"/>
              </w:rPr>
            </w:pPr>
            <w:r>
              <w:rPr>
                <w:rFonts w:ascii="Arial" w:eastAsia="SimSun" w:hAnsi="Arial" w:cs="Arial"/>
                <w:sz w:val="18"/>
                <w:szCs w:val="18"/>
                <w:lang w:eastAsia="en-US"/>
              </w:rPr>
              <w:t>3000</w:t>
            </w:r>
          </w:p>
        </w:tc>
        <w:tc>
          <w:tcPr>
            <w:tcW w:w="1757" w:type="dxa"/>
            <w:vAlign w:val="center"/>
          </w:tcPr>
          <w:p w:rsidR="008F73A0" w:rsidRPr="00A20B44" w:rsidRDefault="008F73A0" w:rsidP="008F73A0">
            <w:pPr>
              <w:spacing w:after="0" w:line="240" w:lineRule="auto"/>
              <w:jc w:val="center"/>
              <w:rPr>
                <w:rFonts w:ascii="Arial" w:eastAsia="SimSun" w:hAnsi="Arial" w:cs="Arial"/>
                <w:sz w:val="18"/>
                <w:szCs w:val="18"/>
                <w:lang w:eastAsia="en-US"/>
              </w:rPr>
            </w:pPr>
            <w:r w:rsidRPr="00A20B44">
              <w:rPr>
                <w:rFonts w:ascii="Arial" w:eastAsia="SimSun" w:hAnsi="Arial" w:cs="Arial"/>
                <w:sz w:val="18"/>
                <w:szCs w:val="18"/>
                <w:lang w:eastAsia="en-US"/>
              </w:rPr>
              <w:t>2000</w:t>
            </w:r>
          </w:p>
        </w:tc>
      </w:tr>
      <w:tr w:rsidR="008F73A0" w:rsidRPr="00A20B44" w:rsidTr="005B4DFB">
        <w:trPr>
          <w:trHeight w:val="279"/>
          <w:jc w:val="center"/>
        </w:trPr>
        <w:tc>
          <w:tcPr>
            <w:tcW w:w="1757" w:type="dxa"/>
            <w:vMerge/>
            <w:vAlign w:val="center"/>
            <w:hideMark/>
          </w:tcPr>
          <w:p w:rsidR="008F73A0" w:rsidRPr="00A20B44" w:rsidRDefault="008F73A0" w:rsidP="008F73A0">
            <w:pPr>
              <w:spacing w:after="0" w:line="240" w:lineRule="auto"/>
              <w:jc w:val="center"/>
              <w:rPr>
                <w:rFonts w:ascii="Arial" w:eastAsia="SimSun" w:hAnsi="Arial" w:cs="Arial"/>
                <w:sz w:val="18"/>
                <w:szCs w:val="18"/>
                <w:lang w:eastAsia="en-US"/>
              </w:rPr>
            </w:pPr>
          </w:p>
        </w:tc>
        <w:tc>
          <w:tcPr>
            <w:tcW w:w="977" w:type="dxa"/>
            <w:shd w:val="clear" w:color="auto" w:fill="auto"/>
            <w:vAlign w:val="center"/>
            <w:hideMark/>
          </w:tcPr>
          <w:p w:rsidR="008F73A0" w:rsidRPr="00A20B44" w:rsidRDefault="008F73A0" w:rsidP="008F73A0">
            <w:pPr>
              <w:spacing w:after="0" w:line="240" w:lineRule="auto"/>
              <w:jc w:val="center"/>
              <w:rPr>
                <w:rFonts w:ascii="Arial" w:eastAsia="SimSun" w:hAnsi="Arial" w:cs="Arial"/>
                <w:sz w:val="18"/>
                <w:szCs w:val="18"/>
                <w:lang w:eastAsia="en-US"/>
              </w:rPr>
            </w:pPr>
            <w:r w:rsidRPr="00A20B44">
              <w:rPr>
                <w:rFonts w:ascii="Arial" w:eastAsia="SimSun" w:hAnsi="Arial" w:cs="Arial"/>
                <w:sz w:val="18"/>
                <w:szCs w:val="18"/>
                <w:lang w:eastAsia="en-US"/>
              </w:rPr>
              <w:t>4</w:t>
            </w:r>
          </w:p>
        </w:tc>
        <w:tc>
          <w:tcPr>
            <w:tcW w:w="1757" w:type="dxa"/>
            <w:shd w:val="clear" w:color="auto" w:fill="auto"/>
            <w:vAlign w:val="center"/>
            <w:hideMark/>
          </w:tcPr>
          <w:p w:rsidR="008F73A0" w:rsidRPr="00A20B44" w:rsidRDefault="008F73A0" w:rsidP="008F73A0">
            <w:pPr>
              <w:spacing w:after="0" w:line="240" w:lineRule="auto"/>
              <w:jc w:val="center"/>
              <w:rPr>
                <w:rFonts w:ascii="Arial" w:eastAsia="SimSun" w:hAnsi="Arial" w:cs="Arial"/>
                <w:sz w:val="18"/>
                <w:szCs w:val="18"/>
                <w:lang w:eastAsia="en-US"/>
              </w:rPr>
            </w:pPr>
            <w:r>
              <w:rPr>
                <w:rFonts w:ascii="Arial" w:eastAsia="SimSun" w:hAnsi="Arial" w:cs="Arial"/>
                <w:sz w:val="18"/>
                <w:szCs w:val="18"/>
                <w:lang w:eastAsia="en-US"/>
              </w:rPr>
              <w:t>2000</w:t>
            </w:r>
          </w:p>
        </w:tc>
        <w:tc>
          <w:tcPr>
            <w:tcW w:w="1757" w:type="dxa"/>
            <w:vAlign w:val="center"/>
          </w:tcPr>
          <w:p w:rsidR="008F73A0" w:rsidRPr="00A20B44" w:rsidRDefault="008F73A0" w:rsidP="008F73A0">
            <w:pPr>
              <w:spacing w:after="0" w:line="240" w:lineRule="auto"/>
              <w:jc w:val="center"/>
              <w:rPr>
                <w:rFonts w:ascii="Arial" w:eastAsia="SimSun" w:hAnsi="Arial" w:cs="Arial"/>
                <w:sz w:val="18"/>
                <w:szCs w:val="18"/>
                <w:lang w:eastAsia="en-US"/>
              </w:rPr>
            </w:pPr>
            <w:r>
              <w:rPr>
                <w:rFonts w:ascii="Arial" w:eastAsia="SimSun" w:hAnsi="Arial" w:cs="Arial"/>
                <w:sz w:val="18"/>
                <w:szCs w:val="18"/>
                <w:lang w:eastAsia="en-US"/>
              </w:rPr>
              <w:t>1500</w:t>
            </w:r>
          </w:p>
        </w:tc>
      </w:tr>
    </w:tbl>
    <w:p w:rsidR="0008221A" w:rsidRDefault="0008221A" w:rsidP="009B1E8F">
      <w:pPr>
        <w:rPr>
          <w:lang w:eastAsia="x-none"/>
        </w:rPr>
      </w:pPr>
    </w:p>
    <w:p w:rsidR="0008221A" w:rsidRDefault="008E1E56" w:rsidP="002E6189">
      <w:pPr>
        <w:jc w:val="both"/>
        <w:rPr>
          <w:lang w:eastAsia="x-none"/>
        </w:rPr>
      </w:pPr>
      <w:r>
        <w:rPr>
          <w:lang w:eastAsia="x-none"/>
        </w:rPr>
        <w:t xml:space="preserve">To capture the requirement in TS38.133, the delay should be presented in the unit of slot. </w:t>
      </w:r>
      <w:r>
        <w:rPr>
          <w:lang w:eastAsia="x-none"/>
        </w:rPr>
        <w:fldChar w:fldCharType="begin"/>
      </w:r>
      <w:r>
        <w:rPr>
          <w:lang w:eastAsia="x-none"/>
        </w:rPr>
        <w:instrText xml:space="preserve"> REF _Ref521417730 \h </w:instrText>
      </w:r>
      <w:r>
        <w:rPr>
          <w:lang w:eastAsia="x-none"/>
        </w:rPr>
      </w:r>
      <w:r>
        <w:rPr>
          <w:lang w:eastAsia="x-none"/>
        </w:rPr>
        <w:fldChar w:fldCharType="separate"/>
      </w:r>
      <w:r>
        <w:t xml:space="preserve">Table </w:t>
      </w:r>
      <w:r>
        <w:rPr>
          <w:noProof/>
        </w:rPr>
        <w:t>2</w:t>
      </w:r>
      <w:r>
        <w:rPr>
          <w:lang w:eastAsia="x-none"/>
        </w:rPr>
        <w:fldChar w:fldCharType="end"/>
      </w:r>
      <w:r>
        <w:rPr>
          <w:lang w:eastAsia="x-none"/>
        </w:rPr>
        <w:t xml:space="preserve"> and </w:t>
      </w:r>
      <w:r>
        <w:rPr>
          <w:lang w:eastAsia="x-none"/>
        </w:rPr>
        <w:fldChar w:fldCharType="begin"/>
      </w:r>
      <w:r>
        <w:rPr>
          <w:lang w:eastAsia="x-none"/>
        </w:rPr>
        <w:instrText xml:space="preserve"> REF _Ref521417734 \h </w:instrText>
      </w:r>
      <w:r>
        <w:rPr>
          <w:lang w:eastAsia="x-none"/>
        </w:rPr>
      </w:r>
      <w:r>
        <w:rPr>
          <w:lang w:eastAsia="x-none"/>
        </w:rPr>
        <w:fldChar w:fldCharType="separate"/>
      </w:r>
      <w:r>
        <w:t xml:space="preserve">Table </w:t>
      </w:r>
      <w:r>
        <w:rPr>
          <w:noProof/>
        </w:rPr>
        <w:t>3</w:t>
      </w:r>
      <w:r>
        <w:rPr>
          <w:lang w:eastAsia="x-none"/>
        </w:rPr>
        <w:fldChar w:fldCharType="end"/>
      </w:r>
      <w:r>
        <w:rPr>
          <w:lang w:eastAsia="x-none"/>
        </w:rPr>
        <w:t xml:space="preserve"> provide the delay in slot for scenarios 1, 2, 3 and scenario 4, respectively.</w:t>
      </w:r>
    </w:p>
    <w:p w:rsidR="005B4DFB" w:rsidRDefault="005B4DFB" w:rsidP="005B4DFB">
      <w:pPr>
        <w:pStyle w:val="a5"/>
        <w:jc w:val="center"/>
        <w:rPr>
          <w:lang w:val="en-US"/>
        </w:rPr>
      </w:pPr>
      <w:bookmarkStart w:id="10" w:name="_Ref521417730"/>
      <w:r>
        <w:t xml:space="preserve">Table </w:t>
      </w:r>
      <w:r w:rsidR="00593178">
        <w:fldChar w:fldCharType="begin"/>
      </w:r>
      <w:r w:rsidR="00593178">
        <w:instrText xml:space="preserve"> SEQ Table \* ARABIC </w:instrText>
      </w:r>
      <w:r w:rsidR="00593178">
        <w:fldChar w:fldCharType="separate"/>
      </w:r>
      <w:r w:rsidR="00506AD8">
        <w:rPr>
          <w:noProof/>
        </w:rPr>
        <w:t>2</w:t>
      </w:r>
      <w:r w:rsidR="00593178">
        <w:rPr>
          <w:noProof/>
        </w:rPr>
        <w:fldChar w:fldCharType="end"/>
      </w:r>
      <w:bookmarkEnd w:id="10"/>
      <w:r>
        <w:rPr>
          <w:lang w:val="en-US"/>
        </w:rPr>
        <w:t xml:space="preserve"> </w:t>
      </w:r>
      <w:r w:rsidR="008E1E56">
        <w:rPr>
          <w:lang w:val="en-US"/>
        </w:rPr>
        <w:t xml:space="preserve">Suggested BWP switching delay for scenarios 1, 2 and 3 </w:t>
      </w:r>
      <w:r>
        <w:rPr>
          <w:lang w:val="en-US"/>
        </w:rPr>
        <w:t>(in the unit of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1728"/>
        <w:gridCol w:w="1729"/>
      </w:tblGrid>
      <w:tr w:rsidR="005B4DFB" w:rsidRPr="001C4BFB" w:rsidTr="008E1E56">
        <w:trPr>
          <w:trHeight w:val="305"/>
          <w:jc w:val="center"/>
        </w:trPr>
        <w:tc>
          <w:tcPr>
            <w:tcW w:w="649" w:type="dxa"/>
            <w:vMerge w:val="restart"/>
            <w:shd w:val="clear" w:color="auto" w:fill="auto"/>
            <w:vAlign w:val="center"/>
          </w:tcPr>
          <w:p w:rsidR="005B4DFB" w:rsidRPr="001C4BFB" w:rsidRDefault="005B4DFB" w:rsidP="008E1E56">
            <w:pPr>
              <w:pStyle w:val="TAH"/>
              <w:spacing w:after="0"/>
            </w:pPr>
            <w:r>
              <w:rPr>
                <w:noProof/>
                <w:lang w:val="en-US"/>
              </w:rPr>
              <w:drawing>
                <wp:inline distT="0" distB="0" distL="0" distR="0" wp14:anchorId="1985D605" wp14:editId="3E703C62">
                  <wp:extent cx="146685" cy="158115"/>
                  <wp:effectExtent l="0" t="0" r="571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685" cy="158115"/>
                          </a:xfrm>
                          <a:prstGeom prst="rect">
                            <a:avLst/>
                          </a:prstGeom>
                          <a:noFill/>
                          <a:ln>
                            <a:noFill/>
                          </a:ln>
                        </pic:spPr>
                      </pic:pic>
                    </a:graphicData>
                  </a:graphic>
                </wp:inline>
              </w:drawing>
            </w:r>
          </w:p>
        </w:tc>
        <w:tc>
          <w:tcPr>
            <w:tcW w:w="1473" w:type="dxa"/>
            <w:vMerge w:val="restart"/>
            <w:vAlign w:val="center"/>
          </w:tcPr>
          <w:p w:rsidR="005B4DFB" w:rsidRPr="001C4BFB" w:rsidRDefault="005B4DFB" w:rsidP="008E1E56">
            <w:pPr>
              <w:pStyle w:val="TAH"/>
              <w:spacing w:after="0"/>
            </w:pPr>
            <w:r w:rsidRPr="001C4BFB">
              <w:t>NR Slot length (ms)</w:t>
            </w:r>
          </w:p>
        </w:tc>
        <w:tc>
          <w:tcPr>
            <w:tcW w:w="3457" w:type="dxa"/>
            <w:gridSpan w:val="2"/>
            <w:vAlign w:val="center"/>
          </w:tcPr>
          <w:p w:rsidR="005B4DFB" w:rsidRDefault="005B4DFB" w:rsidP="008E1E56">
            <w:pPr>
              <w:pStyle w:val="TAH"/>
              <w:spacing w:after="0"/>
              <w:rPr>
                <w:lang w:eastAsia="zh-CN"/>
              </w:rPr>
            </w:pPr>
            <w:r>
              <w:rPr>
                <w:rFonts w:hint="eastAsia"/>
                <w:lang w:eastAsia="zh-CN"/>
              </w:rPr>
              <w:t xml:space="preserve">BWP switch delay </w:t>
            </w:r>
            <w:r>
              <w:rPr>
                <w:lang w:eastAsia="zh-CN"/>
              </w:rPr>
              <w:t>Y (slots)</w:t>
            </w:r>
          </w:p>
        </w:tc>
      </w:tr>
      <w:tr w:rsidR="002C1FEC" w:rsidRPr="001C4BFB" w:rsidTr="008E1E56">
        <w:trPr>
          <w:trHeight w:val="306"/>
          <w:jc w:val="center"/>
        </w:trPr>
        <w:tc>
          <w:tcPr>
            <w:tcW w:w="649" w:type="dxa"/>
            <w:vMerge/>
            <w:shd w:val="clear" w:color="auto" w:fill="auto"/>
            <w:vAlign w:val="center"/>
          </w:tcPr>
          <w:p w:rsidR="002C1FEC" w:rsidRPr="001C4BFB" w:rsidRDefault="002C1FEC" w:rsidP="002C1FEC">
            <w:pPr>
              <w:pStyle w:val="TAH"/>
              <w:spacing w:after="0"/>
            </w:pPr>
          </w:p>
        </w:tc>
        <w:tc>
          <w:tcPr>
            <w:tcW w:w="1473" w:type="dxa"/>
            <w:vMerge/>
            <w:vAlign w:val="center"/>
          </w:tcPr>
          <w:p w:rsidR="002C1FEC" w:rsidRPr="001C4BFB" w:rsidRDefault="002C1FEC" w:rsidP="002C1FEC">
            <w:pPr>
              <w:pStyle w:val="TAH"/>
              <w:spacing w:after="0"/>
            </w:pPr>
          </w:p>
        </w:tc>
        <w:tc>
          <w:tcPr>
            <w:tcW w:w="1728" w:type="dxa"/>
            <w:vAlign w:val="center"/>
          </w:tcPr>
          <w:p w:rsidR="002C1FEC" w:rsidRPr="0056221D" w:rsidRDefault="002C1FEC" w:rsidP="002C1FEC">
            <w:pPr>
              <w:pStyle w:val="TAH"/>
              <w:spacing w:after="0"/>
              <w:rPr>
                <w:vertAlign w:val="superscript"/>
                <w:lang w:eastAsia="zh-CN"/>
              </w:rPr>
            </w:pPr>
            <w:r>
              <w:rPr>
                <w:rFonts w:hint="eastAsia"/>
                <w:lang w:eastAsia="zh-CN"/>
              </w:rPr>
              <w:t>Type 1</w:t>
            </w:r>
          </w:p>
        </w:tc>
        <w:tc>
          <w:tcPr>
            <w:tcW w:w="1729" w:type="dxa"/>
            <w:vAlign w:val="center"/>
          </w:tcPr>
          <w:p w:rsidR="002C1FEC" w:rsidRPr="0056221D" w:rsidRDefault="002C1FEC" w:rsidP="002C1FEC">
            <w:pPr>
              <w:pStyle w:val="TAH"/>
              <w:spacing w:after="0"/>
              <w:rPr>
                <w:vertAlign w:val="superscript"/>
                <w:lang w:eastAsia="zh-CN"/>
              </w:rPr>
            </w:pPr>
            <w:r>
              <w:rPr>
                <w:rFonts w:hint="eastAsia"/>
                <w:lang w:eastAsia="zh-CN"/>
              </w:rPr>
              <w:t>Type 2</w:t>
            </w:r>
          </w:p>
        </w:tc>
      </w:tr>
      <w:tr w:rsidR="005B4DFB" w:rsidRPr="001C4BFB" w:rsidDel="00FC0501" w:rsidTr="008E1E56">
        <w:trPr>
          <w:jc w:val="center"/>
        </w:trPr>
        <w:tc>
          <w:tcPr>
            <w:tcW w:w="649" w:type="dxa"/>
            <w:shd w:val="clear" w:color="auto" w:fill="auto"/>
            <w:vAlign w:val="center"/>
          </w:tcPr>
          <w:p w:rsidR="005B4DFB" w:rsidRPr="001C4BFB" w:rsidRDefault="005B4DFB" w:rsidP="008E1E56">
            <w:pPr>
              <w:pStyle w:val="TAC"/>
            </w:pPr>
            <w:r w:rsidRPr="001C4BFB">
              <w:t>0</w:t>
            </w:r>
          </w:p>
        </w:tc>
        <w:tc>
          <w:tcPr>
            <w:tcW w:w="1473" w:type="dxa"/>
            <w:vAlign w:val="center"/>
          </w:tcPr>
          <w:p w:rsidR="005B4DFB" w:rsidRPr="001C4BFB" w:rsidRDefault="005B4DFB" w:rsidP="008E1E56">
            <w:pPr>
              <w:pStyle w:val="TAC"/>
            </w:pPr>
            <w:r w:rsidRPr="001C4BFB">
              <w:t>1</w:t>
            </w:r>
          </w:p>
        </w:tc>
        <w:tc>
          <w:tcPr>
            <w:tcW w:w="1728" w:type="dxa"/>
            <w:shd w:val="clear" w:color="auto" w:fill="auto"/>
            <w:vAlign w:val="center"/>
          </w:tcPr>
          <w:p w:rsidR="005B4DFB" w:rsidRPr="00FB1969" w:rsidRDefault="008E1E56" w:rsidP="008E1E56">
            <w:pPr>
              <w:pStyle w:val="TAC"/>
            </w:pPr>
            <w:r>
              <w:t>3</w:t>
            </w:r>
          </w:p>
        </w:tc>
        <w:tc>
          <w:tcPr>
            <w:tcW w:w="1729" w:type="dxa"/>
            <w:vAlign w:val="center"/>
          </w:tcPr>
          <w:p w:rsidR="005B4DFB" w:rsidRPr="00FB1969" w:rsidRDefault="008E1E56" w:rsidP="008E1E56">
            <w:pPr>
              <w:pStyle w:val="TAC"/>
            </w:pPr>
            <w:r>
              <w:t>2</w:t>
            </w:r>
          </w:p>
        </w:tc>
      </w:tr>
      <w:tr w:rsidR="005B4DFB" w:rsidRPr="001C4BFB" w:rsidDel="00FC0501" w:rsidTr="008E1E56">
        <w:trPr>
          <w:jc w:val="center"/>
        </w:trPr>
        <w:tc>
          <w:tcPr>
            <w:tcW w:w="649" w:type="dxa"/>
            <w:shd w:val="clear" w:color="auto" w:fill="auto"/>
            <w:vAlign w:val="center"/>
          </w:tcPr>
          <w:p w:rsidR="005B4DFB" w:rsidRPr="001C4BFB" w:rsidRDefault="005B4DFB" w:rsidP="008E1E56">
            <w:pPr>
              <w:pStyle w:val="TAC"/>
            </w:pPr>
            <w:r w:rsidRPr="001C4BFB">
              <w:t>1</w:t>
            </w:r>
          </w:p>
        </w:tc>
        <w:tc>
          <w:tcPr>
            <w:tcW w:w="1473" w:type="dxa"/>
            <w:vAlign w:val="center"/>
          </w:tcPr>
          <w:p w:rsidR="005B4DFB" w:rsidRPr="001C4BFB" w:rsidRDefault="005B4DFB" w:rsidP="008E1E56">
            <w:pPr>
              <w:pStyle w:val="TAC"/>
            </w:pPr>
            <w:r w:rsidRPr="001C4BFB">
              <w:t>0.5</w:t>
            </w:r>
          </w:p>
        </w:tc>
        <w:tc>
          <w:tcPr>
            <w:tcW w:w="1728" w:type="dxa"/>
            <w:shd w:val="clear" w:color="auto" w:fill="auto"/>
            <w:vAlign w:val="center"/>
          </w:tcPr>
          <w:p w:rsidR="005B4DFB" w:rsidRPr="00FB1969" w:rsidRDefault="008E1E56" w:rsidP="008E1E56">
            <w:pPr>
              <w:pStyle w:val="TAC"/>
            </w:pPr>
            <w:r>
              <w:t>6</w:t>
            </w:r>
          </w:p>
        </w:tc>
        <w:tc>
          <w:tcPr>
            <w:tcW w:w="1729" w:type="dxa"/>
            <w:vAlign w:val="center"/>
          </w:tcPr>
          <w:p w:rsidR="005B4DFB" w:rsidRPr="00FB1969" w:rsidRDefault="008E1E56" w:rsidP="008E1E56">
            <w:pPr>
              <w:pStyle w:val="TAC"/>
            </w:pPr>
            <w:r>
              <w:t>4</w:t>
            </w:r>
          </w:p>
        </w:tc>
      </w:tr>
      <w:tr w:rsidR="005B4DFB" w:rsidRPr="001C4BFB" w:rsidDel="00FC0501" w:rsidTr="008E1E56">
        <w:trPr>
          <w:jc w:val="center"/>
        </w:trPr>
        <w:tc>
          <w:tcPr>
            <w:tcW w:w="649" w:type="dxa"/>
            <w:shd w:val="clear" w:color="auto" w:fill="auto"/>
            <w:vAlign w:val="center"/>
          </w:tcPr>
          <w:p w:rsidR="005B4DFB" w:rsidRPr="001C4BFB" w:rsidRDefault="005B4DFB" w:rsidP="008E1E56">
            <w:pPr>
              <w:pStyle w:val="TAC"/>
            </w:pPr>
            <w:r w:rsidRPr="001C4BFB">
              <w:t>2</w:t>
            </w:r>
          </w:p>
        </w:tc>
        <w:tc>
          <w:tcPr>
            <w:tcW w:w="1473" w:type="dxa"/>
            <w:vAlign w:val="center"/>
          </w:tcPr>
          <w:p w:rsidR="005B4DFB" w:rsidRPr="001C4BFB" w:rsidRDefault="005B4DFB" w:rsidP="008E1E56">
            <w:pPr>
              <w:pStyle w:val="TAC"/>
            </w:pPr>
            <w:r w:rsidRPr="001C4BFB">
              <w:t>0.25</w:t>
            </w:r>
          </w:p>
        </w:tc>
        <w:tc>
          <w:tcPr>
            <w:tcW w:w="1728" w:type="dxa"/>
            <w:shd w:val="clear" w:color="auto" w:fill="auto"/>
            <w:vAlign w:val="center"/>
          </w:tcPr>
          <w:p w:rsidR="005B4DFB" w:rsidRPr="00FB1969" w:rsidRDefault="008E1E56" w:rsidP="008E1E56">
            <w:pPr>
              <w:pStyle w:val="TAC"/>
            </w:pPr>
            <w:r>
              <w:t>12</w:t>
            </w:r>
          </w:p>
        </w:tc>
        <w:tc>
          <w:tcPr>
            <w:tcW w:w="1729" w:type="dxa"/>
            <w:vAlign w:val="center"/>
          </w:tcPr>
          <w:p w:rsidR="005B4DFB" w:rsidRPr="00FB1969" w:rsidRDefault="008E1E56" w:rsidP="008E1E56">
            <w:pPr>
              <w:pStyle w:val="TAC"/>
            </w:pPr>
            <w:r>
              <w:t>8</w:t>
            </w:r>
          </w:p>
        </w:tc>
      </w:tr>
      <w:tr w:rsidR="005B4DFB" w:rsidRPr="001C4BFB" w:rsidDel="00FC0501" w:rsidTr="008E1E56">
        <w:trPr>
          <w:jc w:val="center"/>
        </w:trPr>
        <w:tc>
          <w:tcPr>
            <w:tcW w:w="649" w:type="dxa"/>
            <w:shd w:val="clear" w:color="auto" w:fill="auto"/>
            <w:vAlign w:val="center"/>
          </w:tcPr>
          <w:p w:rsidR="005B4DFB" w:rsidRPr="001C4BFB" w:rsidRDefault="005B4DFB" w:rsidP="008E1E56">
            <w:pPr>
              <w:pStyle w:val="TAC"/>
            </w:pPr>
            <w:r w:rsidRPr="001C4BFB">
              <w:t>3</w:t>
            </w:r>
          </w:p>
        </w:tc>
        <w:tc>
          <w:tcPr>
            <w:tcW w:w="1473" w:type="dxa"/>
            <w:vAlign w:val="center"/>
          </w:tcPr>
          <w:p w:rsidR="005B4DFB" w:rsidRPr="001C4BFB" w:rsidRDefault="005B4DFB" w:rsidP="008E1E56">
            <w:pPr>
              <w:pStyle w:val="TAC"/>
            </w:pPr>
            <w:r w:rsidRPr="001C4BFB">
              <w:t>0.125</w:t>
            </w:r>
          </w:p>
        </w:tc>
        <w:tc>
          <w:tcPr>
            <w:tcW w:w="1728" w:type="dxa"/>
            <w:shd w:val="clear" w:color="auto" w:fill="auto"/>
            <w:vAlign w:val="center"/>
          </w:tcPr>
          <w:p w:rsidR="005B4DFB" w:rsidRPr="00FB1969" w:rsidRDefault="008E1E56" w:rsidP="008E1E56">
            <w:pPr>
              <w:pStyle w:val="TAC"/>
            </w:pPr>
            <w:r>
              <w:t>24</w:t>
            </w:r>
          </w:p>
        </w:tc>
        <w:tc>
          <w:tcPr>
            <w:tcW w:w="1729" w:type="dxa"/>
            <w:vAlign w:val="center"/>
          </w:tcPr>
          <w:p w:rsidR="005B4DFB" w:rsidRPr="00FB1969" w:rsidRDefault="008E1E56" w:rsidP="008E1E56">
            <w:pPr>
              <w:pStyle w:val="TAC"/>
            </w:pPr>
            <w:r>
              <w:t>16</w:t>
            </w:r>
          </w:p>
        </w:tc>
      </w:tr>
    </w:tbl>
    <w:p w:rsidR="008E1E56" w:rsidRDefault="008E1E56" w:rsidP="008E1E56">
      <w:pPr>
        <w:pStyle w:val="a5"/>
        <w:jc w:val="center"/>
      </w:pPr>
    </w:p>
    <w:p w:rsidR="005B4DFB" w:rsidRDefault="008E1E56" w:rsidP="008E1E56">
      <w:pPr>
        <w:pStyle w:val="a5"/>
        <w:jc w:val="center"/>
      </w:pPr>
      <w:bookmarkStart w:id="11" w:name="_Ref521417734"/>
      <w:r>
        <w:t xml:space="preserve">Table </w:t>
      </w:r>
      <w:r w:rsidR="00593178">
        <w:fldChar w:fldCharType="begin"/>
      </w:r>
      <w:r w:rsidR="00593178">
        <w:instrText xml:space="preserve"> SEQ Table \* ARABIC </w:instrText>
      </w:r>
      <w:r w:rsidR="00593178">
        <w:fldChar w:fldCharType="separate"/>
      </w:r>
      <w:r w:rsidR="00506AD8">
        <w:rPr>
          <w:noProof/>
        </w:rPr>
        <w:t>3</w:t>
      </w:r>
      <w:r w:rsidR="00593178">
        <w:rPr>
          <w:noProof/>
        </w:rPr>
        <w:fldChar w:fldCharType="end"/>
      </w:r>
      <w:bookmarkEnd w:id="11"/>
      <w:r>
        <w:rPr>
          <w:lang w:val="en-US"/>
        </w:rPr>
        <w:t xml:space="preserve"> Suggested BWP switching delay for scenario 4 (in the unit of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1728"/>
        <w:gridCol w:w="1729"/>
      </w:tblGrid>
      <w:tr w:rsidR="005B4DFB" w:rsidRPr="001C4BFB" w:rsidTr="008E1E56">
        <w:trPr>
          <w:trHeight w:val="305"/>
          <w:jc w:val="center"/>
        </w:trPr>
        <w:tc>
          <w:tcPr>
            <w:tcW w:w="649" w:type="dxa"/>
            <w:vMerge w:val="restart"/>
            <w:shd w:val="clear" w:color="auto" w:fill="auto"/>
            <w:vAlign w:val="center"/>
          </w:tcPr>
          <w:p w:rsidR="005B4DFB" w:rsidRPr="001C4BFB" w:rsidRDefault="005B4DFB" w:rsidP="008E1E56">
            <w:pPr>
              <w:pStyle w:val="TAH"/>
              <w:spacing w:after="0"/>
            </w:pPr>
            <w:r>
              <w:rPr>
                <w:noProof/>
                <w:lang w:val="en-US"/>
              </w:rPr>
              <w:drawing>
                <wp:inline distT="0" distB="0" distL="0" distR="0" wp14:anchorId="72C95FC7" wp14:editId="326C4FE0">
                  <wp:extent cx="140970" cy="16383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 cy="163830"/>
                          </a:xfrm>
                          <a:prstGeom prst="rect">
                            <a:avLst/>
                          </a:prstGeom>
                          <a:noFill/>
                          <a:ln>
                            <a:noFill/>
                          </a:ln>
                        </pic:spPr>
                      </pic:pic>
                    </a:graphicData>
                  </a:graphic>
                </wp:inline>
              </w:drawing>
            </w:r>
          </w:p>
        </w:tc>
        <w:tc>
          <w:tcPr>
            <w:tcW w:w="1473" w:type="dxa"/>
            <w:vMerge w:val="restart"/>
            <w:vAlign w:val="center"/>
          </w:tcPr>
          <w:p w:rsidR="005B4DFB" w:rsidRPr="001C4BFB" w:rsidRDefault="005B4DFB" w:rsidP="008E1E56">
            <w:pPr>
              <w:pStyle w:val="TAH"/>
              <w:spacing w:after="0"/>
            </w:pPr>
            <w:r w:rsidRPr="001C4BFB">
              <w:t>NR Slot length (ms)</w:t>
            </w:r>
          </w:p>
        </w:tc>
        <w:tc>
          <w:tcPr>
            <w:tcW w:w="3457" w:type="dxa"/>
            <w:gridSpan w:val="2"/>
            <w:vAlign w:val="center"/>
          </w:tcPr>
          <w:p w:rsidR="005B4DFB" w:rsidRDefault="005B4DFB" w:rsidP="008E1E56">
            <w:pPr>
              <w:pStyle w:val="TAH"/>
              <w:spacing w:after="0"/>
              <w:rPr>
                <w:lang w:eastAsia="zh-CN"/>
              </w:rPr>
            </w:pPr>
            <w:r>
              <w:rPr>
                <w:rFonts w:hint="eastAsia"/>
                <w:lang w:eastAsia="zh-CN"/>
              </w:rPr>
              <w:t xml:space="preserve">BWP switch delay </w:t>
            </w:r>
            <w:r>
              <w:rPr>
                <w:lang w:eastAsia="zh-CN"/>
              </w:rPr>
              <w:t>Y (slots)</w:t>
            </w:r>
          </w:p>
        </w:tc>
      </w:tr>
      <w:tr w:rsidR="002C1FEC" w:rsidRPr="001C4BFB" w:rsidTr="008E1E56">
        <w:trPr>
          <w:trHeight w:val="306"/>
          <w:jc w:val="center"/>
        </w:trPr>
        <w:tc>
          <w:tcPr>
            <w:tcW w:w="649" w:type="dxa"/>
            <w:vMerge/>
            <w:shd w:val="clear" w:color="auto" w:fill="auto"/>
            <w:vAlign w:val="center"/>
          </w:tcPr>
          <w:p w:rsidR="002C1FEC" w:rsidRPr="001C4BFB" w:rsidRDefault="002C1FEC" w:rsidP="002C1FEC">
            <w:pPr>
              <w:pStyle w:val="TAH"/>
              <w:spacing w:after="0"/>
            </w:pPr>
          </w:p>
        </w:tc>
        <w:tc>
          <w:tcPr>
            <w:tcW w:w="1473" w:type="dxa"/>
            <w:vMerge/>
            <w:vAlign w:val="center"/>
          </w:tcPr>
          <w:p w:rsidR="002C1FEC" w:rsidRPr="001C4BFB" w:rsidRDefault="002C1FEC" w:rsidP="002C1FEC">
            <w:pPr>
              <w:pStyle w:val="TAH"/>
              <w:spacing w:after="0"/>
            </w:pPr>
          </w:p>
        </w:tc>
        <w:tc>
          <w:tcPr>
            <w:tcW w:w="1728" w:type="dxa"/>
            <w:vAlign w:val="center"/>
          </w:tcPr>
          <w:p w:rsidR="002C1FEC" w:rsidRPr="0056221D" w:rsidRDefault="002C1FEC" w:rsidP="002C1FEC">
            <w:pPr>
              <w:pStyle w:val="TAH"/>
              <w:spacing w:after="0"/>
              <w:rPr>
                <w:vertAlign w:val="superscript"/>
                <w:lang w:eastAsia="zh-CN"/>
              </w:rPr>
            </w:pPr>
            <w:r>
              <w:rPr>
                <w:rFonts w:hint="eastAsia"/>
                <w:lang w:eastAsia="zh-CN"/>
              </w:rPr>
              <w:t>Type 1</w:t>
            </w:r>
          </w:p>
        </w:tc>
        <w:tc>
          <w:tcPr>
            <w:tcW w:w="1729" w:type="dxa"/>
            <w:vAlign w:val="center"/>
          </w:tcPr>
          <w:p w:rsidR="002C1FEC" w:rsidRPr="0056221D" w:rsidRDefault="002C1FEC" w:rsidP="002C1FEC">
            <w:pPr>
              <w:pStyle w:val="TAH"/>
              <w:spacing w:after="0"/>
              <w:rPr>
                <w:vertAlign w:val="superscript"/>
                <w:lang w:eastAsia="zh-CN"/>
              </w:rPr>
            </w:pPr>
            <w:r>
              <w:rPr>
                <w:rFonts w:hint="eastAsia"/>
                <w:lang w:eastAsia="zh-CN"/>
              </w:rPr>
              <w:t>Type 2</w:t>
            </w:r>
          </w:p>
        </w:tc>
      </w:tr>
      <w:tr w:rsidR="00A173ED" w:rsidRPr="001C4BFB" w:rsidDel="00FC0501" w:rsidTr="008E1E56">
        <w:trPr>
          <w:jc w:val="center"/>
        </w:trPr>
        <w:tc>
          <w:tcPr>
            <w:tcW w:w="649" w:type="dxa"/>
            <w:shd w:val="clear" w:color="auto" w:fill="auto"/>
            <w:vAlign w:val="center"/>
          </w:tcPr>
          <w:p w:rsidR="00A173ED" w:rsidRPr="001C4BFB" w:rsidRDefault="00A173ED" w:rsidP="00A173ED">
            <w:pPr>
              <w:pStyle w:val="TAC"/>
            </w:pPr>
            <w:r w:rsidRPr="001C4BFB">
              <w:t>0</w:t>
            </w:r>
          </w:p>
        </w:tc>
        <w:tc>
          <w:tcPr>
            <w:tcW w:w="1473" w:type="dxa"/>
            <w:vAlign w:val="center"/>
          </w:tcPr>
          <w:p w:rsidR="00A173ED" w:rsidRPr="001C4BFB" w:rsidRDefault="00A173ED" w:rsidP="00A173ED">
            <w:pPr>
              <w:pStyle w:val="TAC"/>
            </w:pPr>
            <w:r w:rsidRPr="001C4BFB">
              <w:t>1</w:t>
            </w:r>
          </w:p>
        </w:tc>
        <w:tc>
          <w:tcPr>
            <w:tcW w:w="1728" w:type="dxa"/>
            <w:shd w:val="clear" w:color="auto" w:fill="auto"/>
            <w:vAlign w:val="center"/>
          </w:tcPr>
          <w:p w:rsidR="00A173ED" w:rsidRPr="00FB1969" w:rsidRDefault="00A173ED" w:rsidP="00A173ED">
            <w:pPr>
              <w:pStyle w:val="TAC"/>
            </w:pPr>
            <w:r>
              <w:t>2</w:t>
            </w:r>
          </w:p>
        </w:tc>
        <w:tc>
          <w:tcPr>
            <w:tcW w:w="1729" w:type="dxa"/>
            <w:vAlign w:val="center"/>
          </w:tcPr>
          <w:p w:rsidR="00A173ED" w:rsidRPr="00FB1969" w:rsidRDefault="00A173ED" w:rsidP="00A173ED">
            <w:pPr>
              <w:pStyle w:val="TAC"/>
            </w:pPr>
            <w:r>
              <w:t>2</w:t>
            </w:r>
          </w:p>
        </w:tc>
      </w:tr>
      <w:tr w:rsidR="00A173ED" w:rsidRPr="001C4BFB" w:rsidDel="00FC0501" w:rsidTr="008E1E56">
        <w:trPr>
          <w:jc w:val="center"/>
        </w:trPr>
        <w:tc>
          <w:tcPr>
            <w:tcW w:w="649" w:type="dxa"/>
            <w:shd w:val="clear" w:color="auto" w:fill="auto"/>
            <w:vAlign w:val="center"/>
          </w:tcPr>
          <w:p w:rsidR="00A173ED" w:rsidRPr="001C4BFB" w:rsidRDefault="00A173ED" w:rsidP="00A173ED">
            <w:pPr>
              <w:pStyle w:val="TAC"/>
            </w:pPr>
            <w:r w:rsidRPr="001C4BFB">
              <w:t>1</w:t>
            </w:r>
          </w:p>
        </w:tc>
        <w:tc>
          <w:tcPr>
            <w:tcW w:w="1473" w:type="dxa"/>
            <w:vAlign w:val="center"/>
          </w:tcPr>
          <w:p w:rsidR="00A173ED" w:rsidRPr="001C4BFB" w:rsidRDefault="00A173ED" w:rsidP="00A173ED">
            <w:pPr>
              <w:pStyle w:val="TAC"/>
            </w:pPr>
            <w:r w:rsidRPr="001C4BFB">
              <w:t>0.5</w:t>
            </w:r>
          </w:p>
        </w:tc>
        <w:tc>
          <w:tcPr>
            <w:tcW w:w="1728" w:type="dxa"/>
            <w:shd w:val="clear" w:color="auto" w:fill="auto"/>
            <w:vAlign w:val="center"/>
          </w:tcPr>
          <w:p w:rsidR="00A173ED" w:rsidRPr="00FB1969" w:rsidRDefault="00A173ED" w:rsidP="00A173ED">
            <w:pPr>
              <w:pStyle w:val="TAC"/>
            </w:pPr>
            <w:r>
              <w:t>4</w:t>
            </w:r>
          </w:p>
        </w:tc>
        <w:tc>
          <w:tcPr>
            <w:tcW w:w="1729" w:type="dxa"/>
            <w:vAlign w:val="center"/>
          </w:tcPr>
          <w:p w:rsidR="00A173ED" w:rsidRPr="00FB1969" w:rsidRDefault="00A173ED" w:rsidP="00A173ED">
            <w:pPr>
              <w:pStyle w:val="TAC"/>
            </w:pPr>
            <w:r>
              <w:t>3</w:t>
            </w:r>
          </w:p>
        </w:tc>
      </w:tr>
      <w:tr w:rsidR="00A173ED" w:rsidRPr="001C4BFB" w:rsidDel="00FC0501" w:rsidTr="008E1E56">
        <w:trPr>
          <w:jc w:val="center"/>
        </w:trPr>
        <w:tc>
          <w:tcPr>
            <w:tcW w:w="649" w:type="dxa"/>
            <w:shd w:val="clear" w:color="auto" w:fill="auto"/>
            <w:vAlign w:val="center"/>
          </w:tcPr>
          <w:p w:rsidR="00A173ED" w:rsidRPr="001C4BFB" w:rsidRDefault="00A173ED" w:rsidP="00A173ED">
            <w:pPr>
              <w:pStyle w:val="TAC"/>
            </w:pPr>
            <w:r w:rsidRPr="001C4BFB">
              <w:t>2</w:t>
            </w:r>
          </w:p>
        </w:tc>
        <w:tc>
          <w:tcPr>
            <w:tcW w:w="1473" w:type="dxa"/>
            <w:vAlign w:val="center"/>
          </w:tcPr>
          <w:p w:rsidR="00A173ED" w:rsidRPr="001C4BFB" w:rsidRDefault="00A173ED" w:rsidP="00A173ED">
            <w:pPr>
              <w:pStyle w:val="TAC"/>
            </w:pPr>
            <w:r w:rsidRPr="001C4BFB">
              <w:t>0.25</w:t>
            </w:r>
          </w:p>
        </w:tc>
        <w:tc>
          <w:tcPr>
            <w:tcW w:w="1728" w:type="dxa"/>
            <w:shd w:val="clear" w:color="auto" w:fill="auto"/>
            <w:vAlign w:val="center"/>
          </w:tcPr>
          <w:p w:rsidR="00A173ED" w:rsidRPr="00FB1969" w:rsidRDefault="00A173ED" w:rsidP="00A173ED">
            <w:pPr>
              <w:pStyle w:val="TAC"/>
            </w:pPr>
            <w:r>
              <w:t>8</w:t>
            </w:r>
          </w:p>
        </w:tc>
        <w:tc>
          <w:tcPr>
            <w:tcW w:w="1729" w:type="dxa"/>
            <w:vAlign w:val="center"/>
          </w:tcPr>
          <w:p w:rsidR="00A173ED" w:rsidRPr="00FB1969" w:rsidRDefault="00A173ED" w:rsidP="00A173ED">
            <w:pPr>
              <w:pStyle w:val="TAC"/>
            </w:pPr>
            <w:r>
              <w:t>6</w:t>
            </w:r>
          </w:p>
        </w:tc>
      </w:tr>
      <w:tr w:rsidR="00A173ED" w:rsidRPr="001C4BFB" w:rsidDel="00FC0501" w:rsidTr="008E1E56">
        <w:trPr>
          <w:jc w:val="center"/>
        </w:trPr>
        <w:tc>
          <w:tcPr>
            <w:tcW w:w="649" w:type="dxa"/>
            <w:shd w:val="clear" w:color="auto" w:fill="auto"/>
            <w:vAlign w:val="center"/>
          </w:tcPr>
          <w:p w:rsidR="00A173ED" w:rsidRPr="001C4BFB" w:rsidRDefault="00A173ED" w:rsidP="00A173ED">
            <w:pPr>
              <w:pStyle w:val="TAC"/>
            </w:pPr>
            <w:r w:rsidRPr="001C4BFB">
              <w:t>3</w:t>
            </w:r>
          </w:p>
        </w:tc>
        <w:tc>
          <w:tcPr>
            <w:tcW w:w="1473" w:type="dxa"/>
            <w:vAlign w:val="center"/>
          </w:tcPr>
          <w:p w:rsidR="00A173ED" w:rsidRPr="001C4BFB" w:rsidRDefault="00A173ED" w:rsidP="00A173ED">
            <w:pPr>
              <w:pStyle w:val="TAC"/>
            </w:pPr>
            <w:r w:rsidRPr="001C4BFB">
              <w:t>0.125</w:t>
            </w:r>
          </w:p>
        </w:tc>
        <w:tc>
          <w:tcPr>
            <w:tcW w:w="1728" w:type="dxa"/>
            <w:shd w:val="clear" w:color="auto" w:fill="auto"/>
            <w:vAlign w:val="center"/>
          </w:tcPr>
          <w:p w:rsidR="00A173ED" w:rsidRPr="00FB1969" w:rsidRDefault="00A173ED" w:rsidP="00A173ED">
            <w:pPr>
              <w:pStyle w:val="TAC"/>
            </w:pPr>
            <w:r>
              <w:t>16</w:t>
            </w:r>
          </w:p>
        </w:tc>
        <w:tc>
          <w:tcPr>
            <w:tcW w:w="1729" w:type="dxa"/>
            <w:vAlign w:val="center"/>
          </w:tcPr>
          <w:p w:rsidR="00A173ED" w:rsidRPr="00FB1969" w:rsidRDefault="00A173ED" w:rsidP="00A173ED">
            <w:pPr>
              <w:pStyle w:val="TAC"/>
            </w:pPr>
            <w:r>
              <w:t>12</w:t>
            </w:r>
          </w:p>
        </w:tc>
      </w:tr>
    </w:tbl>
    <w:p w:rsidR="005B4DFB" w:rsidRDefault="005B4DFB" w:rsidP="005B4DFB">
      <w:pPr>
        <w:rPr>
          <w:lang w:eastAsia="x-none"/>
        </w:rPr>
      </w:pPr>
    </w:p>
    <w:p w:rsidR="00A173ED" w:rsidRPr="00A173ED" w:rsidRDefault="00A173ED" w:rsidP="00A173ED">
      <w:pPr>
        <w:pStyle w:val="a5"/>
        <w:rPr>
          <w:lang w:val="en-US"/>
        </w:rPr>
      </w:pPr>
      <w:bookmarkStart w:id="12" w:name="_Ref521436435"/>
      <w:r>
        <w:t xml:space="preserve">Proposal </w:t>
      </w:r>
      <w:r w:rsidR="00593178">
        <w:fldChar w:fldCharType="begin"/>
      </w:r>
      <w:r w:rsidR="00593178">
        <w:instrText xml:space="preserve"> SEQ Proposal \* ARABIC </w:instrText>
      </w:r>
      <w:r w:rsidR="00593178">
        <w:fldChar w:fldCharType="separate"/>
      </w:r>
      <w:r>
        <w:rPr>
          <w:noProof/>
        </w:rPr>
        <w:t>1</w:t>
      </w:r>
      <w:r w:rsidR="00593178">
        <w:rPr>
          <w:noProof/>
        </w:rPr>
        <w:fldChar w:fldCharType="end"/>
      </w:r>
      <w:r>
        <w:rPr>
          <w:lang w:val="en-US"/>
        </w:rPr>
        <w:t xml:space="preserve">: Suggest to </w:t>
      </w:r>
      <w:r w:rsidR="00BC01AB">
        <w:rPr>
          <w:lang w:val="en-US"/>
        </w:rPr>
        <w:t>capture</w:t>
      </w:r>
      <w:r>
        <w:rPr>
          <w:lang w:val="en-US"/>
        </w:rPr>
        <w:t xml:space="preserve"> BWP switching delay </w:t>
      </w:r>
      <w:r w:rsidR="00BC01AB">
        <w:rPr>
          <w:lang w:val="en-US"/>
        </w:rPr>
        <w:t xml:space="preserve">in TS38.133 </w:t>
      </w:r>
      <w:r>
        <w:rPr>
          <w:lang w:val="en-US"/>
        </w:rPr>
        <w:t>as below table.</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344"/>
        <w:gridCol w:w="1529"/>
        <w:gridCol w:w="1329"/>
        <w:gridCol w:w="567"/>
        <w:gridCol w:w="1276"/>
        <w:gridCol w:w="1485"/>
        <w:gridCol w:w="1486"/>
      </w:tblGrid>
      <w:tr w:rsidR="002C1FEC" w:rsidRPr="001C4BFB" w:rsidTr="002C1FEC">
        <w:trPr>
          <w:trHeight w:val="305"/>
          <w:jc w:val="center"/>
        </w:trPr>
        <w:tc>
          <w:tcPr>
            <w:tcW w:w="4815" w:type="dxa"/>
            <w:gridSpan w:val="4"/>
            <w:shd w:val="clear" w:color="auto" w:fill="auto"/>
            <w:vAlign w:val="center"/>
          </w:tcPr>
          <w:p w:rsidR="002C1FEC" w:rsidRPr="00C8046B" w:rsidRDefault="002C1FEC" w:rsidP="002C1FEC">
            <w:pPr>
              <w:pStyle w:val="TAH"/>
              <w:spacing w:after="0"/>
              <w:rPr>
                <w:lang w:val="en-US" w:eastAsia="zh-CN"/>
              </w:rPr>
            </w:pPr>
            <w:r>
              <w:rPr>
                <w:lang w:val="en-US"/>
              </w:rPr>
              <w:t>BWP switching delay for scenarios 1, 2 and 3</w:t>
            </w:r>
          </w:p>
        </w:tc>
        <w:tc>
          <w:tcPr>
            <w:tcW w:w="4814" w:type="dxa"/>
            <w:gridSpan w:val="4"/>
            <w:vAlign w:val="center"/>
          </w:tcPr>
          <w:p w:rsidR="002C1FEC" w:rsidRDefault="002C1FEC" w:rsidP="002C1FEC">
            <w:pPr>
              <w:pStyle w:val="TAH"/>
              <w:spacing w:after="0"/>
              <w:rPr>
                <w:lang w:val="en-US"/>
              </w:rPr>
            </w:pPr>
            <w:r>
              <w:rPr>
                <w:lang w:val="en-US"/>
              </w:rPr>
              <w:t>BWP switching delay for scenario 4</w:t>
            </w:r>
          </w:p>
        </w:tc>
      </w:tr>
      <w:tr w:rsidR="002C1FEC" w:rsidRPr="001C4BFB" w:rsidTr="002C1FEC">
        <w:trPr>
          <w:trHeight w:val="305"/>
          <w:jc w:val="center"/>
        </w:trPr>
        <w:tc>
          <w:tcPr>
            <w:tcW w:w="613" w:type="dxa"/>
            <w:vMerge w:val="restart"/>
            <w:shd w:val="clear" w:color="auto" w:fill="auto"/>
            <w:vAlign w:val="center"/>
          </w:tcPr>
          <w:p w:rsidR="002C1FEC" w:rsidRPr="001C4BFB" w:rsidRDefault="002C1FEC" w:rsidP="002C1FEC">
            <w:pPr>
              <w:pStyle w:val="TAH"/>
              <w:spacing w:after="0"/>
            </w:pPr>
            <w:r>
              <w:rPr>
                <w:noProof/>
                <w:lang w:val="en-US"/>
              </w:rPr>
              <w:drawing>
                <wp:inline distT="0" distB="0" distL="0" distR="0" wp14:anchorId="1F8BD4EC" wp14:editId="52742FCF">
                  <wp:extent cx="146685" cy="158115"/>
                  <wp:effectExtent l="0" t="0" r="571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685" cy="158115"/>
                          </a:xfrm>
                          <a:prstGeom prst="rect">
                            <a:avLst/>
                          </a:prstGeom>
                          <a:noFill/>
                          <a:ln>
                            <a:noFill/>
                          </a:ln>
                        </pic:spPr>
                      </pic:pic>
                    </a:graphicData>
                  </a:graphic>
                </wp:inline>
              </w:drawing>
            </w:r>
          </w:p>
        </w:tc>
        <w:tc>
          <w:tcPr>
            <w:tcW w:w="1344" w:type="dxa"/>
            <w:vMerge w:val="restart"/>
            <w:vAlign w:val="center"/>
          </w:tcPr>
          <w:p w:rsidR="002C1FEC" w:rsidRPr="001C4BFB" w:rsidRDefault="002C1FEC" w:rsidP="002C1FEC">
            <w:pPr>
              <w:pStyle w:val="TAH"/>
              <w:spacing w:after="0"/>
            </w:pPr>
            <w:r w:rsidRPr="001C4BFB">
              <w:t>NR Slot length (ms)</w:t>
            </w:r>
          </w:p>
        </w:tc>
        <w:tc>
          <w:tcPr>
            <w:tcW w:w="2858" w:type="dxa"/>
            <w:gridSpan w:val="2"/>
            <w:vAlign w:val="center"/>
          </w:tcPr>
          <w:p w:rsidR="002C1FEC" w:rsidRDefault="002C1FEC" w:rsidP="002C1FEC">
            <w:pPr>
              <w:pStyle w:val="TAH"/>
              <w:spacing w:after="0"/>
              <w:rPr>
                <w:lang w:eastAsia="zh-CN"/>
              </w:rPr>
            </w:pPr>
            <w:r>
              <w:rPr>
                <w:rFonts w:hint="eastAsia"/>
                <w:lang w:eastAsia="zh-CN"/>
              </w:rPr>
              <w:t xml:space="preserve">BWP switch delay </w:t>
            </w:r>
            <w:r>
              <w:rPr>
                <w:lang w:eastAsia="zh-CN"/>
              </w:rPr>
              <w:t>Y (slots)</w:t>
            </w:r>
          </w:p>
        </w:tc>
        <w:tc>
          <w:tcPr>
            <w:tcW w:w="567" w:type="dxa"/>
            <w:vMerge w:val="restart"/>
            <w:vAlign w:val="center"/>
          </w:tcPr>
          <w:p w:rsidR="002C1FEC" w:rsidRDefault="002C1FEC" w:rsidP="002C1FEC">
            <w:pPr>
              <w:pStyle w:val="TAH"/>
              <w:spacing w:after="0"/>
              <w:rPr>
                <w:lang w:eastAsia="zh-CN"/>
              </w:rPr>
            </w:pPr>
            <w:r>
              <w:rPr>
                <w:noProof/>
                <w:lang w:val="en-US"/>
              </w:rPr>
              <w:drawing>
                <wp:inline distT="0" distB="0" distL="0" distR="0" wp14:anchorId="4E5AFC61" wp14:editId="1390E976">
                  <wp:extent cx="140970" cy="163830"/>
                  <wp:effectExtent l="0" t="0" r="0" b="762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 cy="163830"/>
                          </a:xfrm>
                          <a:prstGeom prst="rect">
                            <a:avLst/>
                          </a:prstGeom>
                          <a:noFill/>
                          <a:ln>
                            <a:noFill/>
                          </a:ln>
                        </pic:spPr>
                      </pic:pic>
                    </a:graphicData>
                  </a:graphic>
                </wp:inline>
              </w:drawing>
            </w:r>
          </w:p>
        </w:tc>
        <w:tc>
          <w:tcPr>
            <w:tcW w:w="1276" w:type="dxa"/>
            <w:vMerge w:val="restart"/>
            <w:vAlign w:val="center"/>
          </w:tcPr>
          <w:p w:rsidR="002C1FEC" w:rsidRDefault="002C1FEC" w:rsidP="002C1FEC">
            <w:pPr>
              <w:pStyle w:val="TAH"/>
              <w:spacing w:after="0"/>
              <w:rPr>
                <w:lang w:eastAsia="zh-CN"/>
              </w:rPr>
            </w:pPr>
            <w:r w:rsidRPr="001C4BFB">
              <w:t>NR Slot length (ms)</w:t>
            </w:r>
          </w:p>
        </w:tc>
        <w:tc>
          <w:tcPr>
            <w:tcW w:w="2971" w:type="dxa"/>
            <w:gridSpan w:val="2"/>
            <w:vAlign w:val="center"/>
          </w:tcPr>
          <w:p w:rsidR="002C1FEC" w:rsidRDefault="002C1FEC" w:rsidP="002C1FEC">
            <w:pPr>
              <w:pStyle w:val="TAH"/>
              <w:spacing w:after="0"/>
              <w:rPr>
                <w:lang w:eastAsia="zh-CN"/>
              </w:rPr>
            </w:pPr>
            <w:r>
              <w:rPr>
                <w:rFonts w:hint="eastAsia"/>
                <w:lang w:eastAsia="zh-CN"/>
              </w:rPr>
              <w:t xml:space="preserve">BWP switch delay </w:t>
            </w:r>
            <w:r>
              <w:rPr>
                <w:lang w:eastAsia="zh-CN"/>
              </w:rPr>
              <w:t>Y (slots)</w:t>
            </w:r>
          </w:p>
        </w:tc>
      </w:tr>
      <w:tr w:rsidR="002C1FEC" w:rsidRPr="001C4BFB" w:rsidTr="002C1FEC">
        <w:trPr>
          <w:trHeight w:val="306"/>
          <w:jc w:val="center"/>
        </w:trPr>
        <w:tc>
          <w:tcPr>
            <w:tcW w:w="613" w:type="dxa"/>
            <w:vMerge/>
            <w:shd w:val="clear" w:color="auto" w:fill="auto"/>
            <w:vAlign w:val="center"/>
          </w:tcPr>
          <w:p w:rsidR="002C1FEC" w:rsidRPr="001C4BFB" w:rsidRDefault="002C1FEC" w:rsidP="002C1FEC">
            <w:pPr>
              <w:pStyle w:val="TAH"/>
              <w:spacing w:after="0"/>
            </w:pPr>
          </w:p>
        </w:tc>
        <w:tc>
          <w:tcPr>
            <w:tcW w:w="1344" w:type="dxa"/>
            <w:vMerge/>
            <w:vAlign w:val="center"/>
          </w:tcPr>
          <w:p w:rsidR="002C1FEC" w:rsidRPr="001C4BFB" w:rsidRDefault="002C1FEC" w:rsidP="002C1FEC">
            <w:pPr>
              <w:pStyle w:val="TAH"/>
              <w:spacing w:after="0"/>
            </w:pPr>
          </w:p>
        </w:tc>
        <w:tc>
          <w:tcPr>
            <w:tcW w:w="1529" w:type="dxa"/>
            <w:vAlign w:val="center"/>
          </w:tcPr>
          <w:p w:rsidR="002C1FEC" w:rsidRPr="0056221D" w:rsidRDefault="002C1FEC" w:rsidP="002C1FEC">
            <w:pPr>
              <w:pStyle w:val="TAH"/>
              <w:spacing w:after="0"/>
              <w:rPr>
                <w:vertAlign w:val="superscript"/>
                <w:lang w:eastAsia="zh-CN"/>
              </w:rPr>
            </w:pPr>
            <w:r>
              <w:rPr>
                <w:rFonts w:hint="eastAsia"/>
                <w:lang w:eastAsia="zh-CN"/>
              </w:rPr>
              <w:t>Type 1</w:t>
            </w:r>
          </w:p>
        </w:tc>
        <w:tc>
          <w:tcPr>
            <w:tcW w:w="1329" w:type="dxa"/>
            <w:vAlign w:val="center"/>
          </w:tcPr>
          <w:p w:rsidR="002C1FEC" w:rsidRPr="0056221D" w:rsidRDefault="002C1FEC" w:rsidP="002C1FEC">
            <w:pPr>
              <w:pStyle w:val="TAH"/>
              <w:spacing w:after="0"/>
              <w:rPr>
                <w:vertAlign w:val="superscript"/>
                <w:lang w:eastAsia="zh-CN"/>
              </w:rPr>
            </w:pPr>
            <w:r>
              <w:rPr>
                <w:rFonts w:hint="eastAsia"/>
                <w:lang w:eastAsia="zh-CN"/>
              </w:rPr>
              <w:t>Type 2</w:t>
            </w:r>
          </w:p>
        </w:tc>
        <w:tc>
          <w:tcPr>
            <w:tcW w:w="567" w:type="dxa"/>
            <w:vMerge/>
            <w:vAlign w:val="center"/>
          </w:tcPr>
          <w:p w:rsidR="002C1FEC" w:rsidRDefault="002C1FEC" w:rsidP="002C1FEC">
            <w:pPr>
              <w:pStyle w:val="TAH"/>
              <w:spacing w:after="0"/>
              <w:rPr>
                <w:lang w:eastAsia="zh-CN"/>
              </w:rPr>
            </w:pPr>
          </w:p>
        </w:tc>
        <w:tc>
          <w:tcPr>
            <w:tcW w:w="1276" w:type="dxa"/>
            <w:vMerge/>
            <w:vAlign w:val="center"/>
          </w:tcPr>
          <w:p w:rsidR="002C1FEC" w:rsidRDefault="002C1FEC" w:rsidP="002C1FEC">
            <w:pPr>
              <w:pStyle w:val="TAH"/>
              <w:spacing w:after="0"/>
              <w:rPr>
                <w:lang w:eastAsia="zh-CN"/>
              </w:rPr>
            </w:pPr>
          </w:p>
        </w:tc>
        <w:tc>
          <w:tcPr>
            <w:tcW w:w="1485" w:type="dxa"/>
            <w:vAlign w:val="center"/>
          </w:tcPr>
          <w:p w:rsidR="002C1FEC" w:rsidRPr="0056221D" w:rsidRDefault="002C1FEC" w:rsidP="002C1FEC">
            <w:pPr>
              <w:pStyle w:val="TAH"/>
              <w:spacing w:after="0"/>
              <w:rPr>
                <w:vertAlign w:val="superscript"/>
                <w:lang w:eastAsia="zh-CN"/>
              </w:rPr>
            </w:pPr>
            <w:r>
              <w:rPr>
                <w:rFonts w:hint="eastAsia"/>
                <w:lang w:eastAsia="zh-CN"/>
              </w:rPr>
              <w:t>Type 1</w:t>
            </w:r>
          </w:p>
        </w:tc>
        <w:tc>
          <w:tcPr>
            <w:tcW w:w="1486" w:type="dxa"/>
            <w:vAlign w:val="center"/>
          </w:tcPr>
          <w:p w:rsidR="002C1FEC" w:rsidRPr="0056221D" w:rsidRDefault="002C1FEC" w:rsidP="002C1FEC">
            <w:pPr>
              <w:pStyle w:val="TAH"/>
              <w:spacing w:after="0"/>
              <w:rPr>
                <w:vertAlign w:val="superscript"/>
                <w:lang w:eastAsia="zh-CN"/>
              </w:rPr>
            </w:pPr>
            <w:r>
              <w:rPr>
                <w:rFonts w:hint="eastAsia"/>
                <w:lang w:eastAsia="zh-CN"/>
              </w:rPr>
              <w:t>Type 2</w:t>
            </w:r>
          </w:p>
        </w:tc>
      </w:tr>
      <w:tr w:rsidR="002C1FEC" w:rsidRPr="001C4BFB" w:rsidDel="00FC0501" w:rsidTr="002C1FEC">
        <w:trPr>
          <w:jc w:val="center"/>
        </w:trPr>
        <w:tc>
          <w:tcPr>
            <w:tcW w:w="613" w:type="dxa"/>
            <w:shd w:val="clear" w:color="auto" w:fill="auto"/>
            <w:vAlign w:val="center"/>
          </w:tcPr>
          <w:p w:rsidR="002C1FEC" w:rsidRPr="001C4BFB" w:rsidRDefault="002C1FEC" w:rsidP="002C1FEC">
            <w:pPr>
              <w:pStyle w:val="TAC"/>
            </w:pPr>
            <w:r w:rsidRPr="001C4BFB">
              <w:t>0</w:t>
            </w:r>
          </w:p>
        </w:tc>
        <w:tc>
          <w:tcPr>
            <w:tcW w:w="1344" w:type="dxa"/>
            <w:vAlign w:val="center"/>
          </w:tcPr>
          <w:p w:rsidR="002C1FEC" w:rsidRPr="001C4BFB" w:rsidRDefault="002C1FEC" w:rsidP="002C1FEC">
            <w:pPr>
              <w:pStyle w:val="TAC"/>
            </w:pPr>
            <w:r w:rsidRPr="001C4BFB">
              <w:t>1</w:t>
            </w:r>
          </w:p>
        </w:tc>
        <w:tc>
          <w:tcPr>
            <w:tcW w:w="1529" w:type="dxa"/>
            <w:shd w:val="clear" w:color="auto" w:fill="auto"/>
            <w:vAlign w:val="center"/>
          </w:tcPr>
          <w:p w:rsidR="002C1FEC" w:rsidRPr="00FB1969" w:rsidRDefault="002C1FEC" w:rsidP="002C1FEC">
            <w:pPr>
              <w:pStyle w:val="TAC"/>
            </w:pPr>
            <w:r>
              <w:t>3</w:t>
            </w:r>
          </w:p>
        </w:tc>
        <w:tc>
          <w:tcPr>
            <w:tcW w:w="1329" w:type="dxa"/>
            <w:vAlign w:val="center"/>
          </w:tcPr>
          <w:p w:rsidR="002C1FEC" w:rsidRPr="00FB1969" w:rsidRDefault="002C1FEC" w:rsidP="002C1FEC">
            <w:pPr>
              <w:pStyle w:val="TAC"/>
            </w:pPr>
            <w:r>
              <w:t>2</w:t>
            </w:r>
          </w:p>
        </w:tc>
        <w:tc>
          <w:tcPr>
            <w:tcW w:w="567" w:type="dxa"/>
            <w:vAlign w:val="center"/>
          </w:tcPr>
          <w:p w:rsidR="002C1FEC" w:rsidRPr="001C4BFB" w:rsidRDefault="002C1FEC" w:rsidP="002C1FEC">
            <w:pPr>
              <w:pStyle w:val="TAC"/>
            </w:pPr>
            <w:r w:rsidRPr="001C4BFB">
              <w:t>0</w:t>
            </w:r>
          </w:p>
        </w:tc>
        <w:tc>
          <w:tcPr>
            <w:tcW w:w="1276" w:type="dxa"/>
            <w:vAlign w:val="center"/>
          </w:tcPr>
          <w:p w:rsidR="002C1FEC" w:rsidRPr="001C4BFB" w:rsidRDefault="002C1FEC" w:rsidP="002C1FEC">
            <w:pPr>
              <w:pStyle w:val="TAC"/>
            </w:pPr>
            <w:r w:rsidRPr="001C4BFB">
              <w:t>1</w:t>
            </w:r>
          </w:p>
        </w:tc>
        <w:tc>
          <w:tcPr>
            <w:tcW w:w="1485" w:type="dxa"/>
            <w:vAlign w:val="center"/>
          </w:tcPr>
          <w:p w:rsidR="002C1FEC" w:rsidRPr="00FB1969" w:rsidRDefault="002C1FEC" w:rsidP="002C1FEC">
            <w:pPr>
              <w:pStyle w:val="TAC"/>
            </w:pPr>
            <w:r>
              <w:t>2</w:t>
            </w:r>
          </w:p>
        </w:tc>
        <w:tc>
          <w:tcPr>
            <w:tcW w:w="1486" w:type="dxa"/>
            <w:vAlign w:val="center"/>
          </w:tcPr>
          <w:p w:rsidR="002C1FEC" w:rsidRPr="00FB1969" w:rsidRDefault="002C1FEC" w:rsidP="002C1FEC">
            <w:pPr>
              <w:pStyle w:val="TAC"/>
            </w:pPr>
            <w:r>
              <w:t>2</w:t>
            </w:r>
          </w:p>
        </w:tc>
      </w:tr>
      <w:tr w:rsidR="002C1FEC" w:rsidRPr="001C4BFB" w:rsidDel="00FC0501" w:rsidTr="002C1FEC">
        <w:trPr>
          <w:jc w:val="center"/>
        </w:trPr>
        <w:tc>
          <w:tcPr>
            <w:tcW w:w="613" w:type="dxa"/>
            <w:shd w:val="clear" w:color="auto" w:fill="auto"/>
            <w:vAlign w:val="center"/>
          </w:tcPr>
          <w:p w:rsidR="002C1FEC" w:rsidRPr="001C4BFB" w:rsidRDefault="002C1FEC" w:rsidP="002C1FEC">
            <w:pPr>
              <w:pStyle w:val="TAC"/>
            </w:pPr>
            <w:r w:rsidRPr="001C4BFB">
              <w:t>1</w:t>
            </w:r>
          </w:p>
        </w:tc>
        <w:tc>
          <w:tcPr>
            <w:tcW w:w="1344" w:type="dxa"/>
            <w:vAlign w:val="center"/>
          </w:tcPr>
          <w:p w:rsidR="002C1FEC" w:rsidRPr="001C4BFB" w:rsidRDefault="002C1FEC" w:rsidP="002C1FEC">
            <w:pPr>
              <w:pStyle w:val="TAC"/>
            </w:pPr>
            <w:r w:rsidRPr="001C4BFB">
              <w:t>0.5</w:t>
            </w:r>
          </w:p>
        </w:tc>
        <w:tc>
          <w:tcPr>
            <w:tcW w:w="1529" w:type="dxa"/>
            <w:shd w:val="clear" w:color="auto" w:fill="auto"/>
            <w:vAlign w:val="center"/>
          </w:tcPr>
          <w:p w:rsidR="002C1FEC" w:rsidRPr="00FB1969" w:rsidRDefault="002C1FEC" w:rsidP="002C1FEC">
            <w:pPr>
              <w:pStyle w:val="TAC"/>
            </w:pPr>
            <w:r>
              <w:t>6</w:t>
            </w:r>
          </w:p>
        </w:tc>
        <w:tc>
          <w:tcPr>
            <w:tcW w:w="1329" w:type="dxa"/>
            <w:vAlign w:val="center"/>
          </w:tcPr>
          <w:p w:rsidR="002C1FEC" w:rsidRPr="00FB1969" w:rsidRDefault="002C1FEC" w:rsidP="002C1FEC">
            <w:pPr>
              <w:pStyle w:val="TAC"/>
            </w:pPr>
            <w:r>
              <w:t>4</w:t>
            </w:r>
          </w:p>
        </w:tc>
        <w:tc>
          <w:tcPr>
            <w:tcW w:w="567" w:type="dxa"/>
            <w:vAlign w:val="center"/>
          </w:tcPr>
          <w:p w:rsidR="002C1FEC" w:rsidRPr="001C4BFB" w:rsidRDefault="002C1FEC" w:rsidP="002C1FEC">
            <w:pPr>
              <w:pStyle w:val="TAC"/>
            </w:pPr>
            <w:r w:rsidRPr="001C4BFB">
              <w:t>1</w:t>
            </w:r>
          </w:p>
        </w:tc>
        <w:tc>
          <w:tcPr>
            <w:tcW w:w="1276" w:type="dxa"/>
            <w:vAlign w:val="center"/>
          </w:tcPr>
          <w:p w:rsidR="002C1FEC" w:rsidRPr="001C4BFB" w:rsidRDefault="002C1FEC" w:rsidP="002C1FEC">
            <w:pPr>
              <w:pStyle w:val="TAC"/>
            </w:pPr>
            <w:r w:rsidRPr="001C4BFB">
              <w:t>0.5</w:t>
            </w:r>
          </w:p>
        </w:tc>
        <w:tc>
          <w:tcPr>
            <w:tcW w:w="1485" w:type="dxa"/>
            <w:vAlign w:val="center"/>
          </w:tcPr>
          <w:p w:rsidR="002C1FEC" w:rsidRPr="00FB1969" w:rsidRDefault="002C1FEC" w:rsidP="002C1FEC">
            <w:pPr>
              <w:pStyle w:val="TAC"/>
            </w:pPr>
            <w:r>
              <w:t>4</w:t>
            </w:r>
          </w:p>
        </w:tc>
        <w:tc>
          <w:tcPr>
            <w:tcW w:w="1486" w:type="dxa"/>
            <w:vAlign w:val="center"/>
          </w:tcPr>
          <w:p w:rsidR="002C1FEC" w:rsidRPr="00FB1969" w:rsidRDefault="002C1FEC" w:rsidP="002C1FEC">
            <w:pPr>
              <w:pStyle w:val="TAC"/>
            </w:pPr>
            <w:r>
              <w:t>3</w:t>
            </w:r>
          </w:p>
        </w:tc>
      </w:tr>
      <w:tr w:rsidR="002C1FEC" w:rsidRPr="001C4BFB" w:rsidDel="00FC0501" w:rsidTr="002C1FEC">
        <w:trPr>
          <w:jc w:val="center"/>
        </w:trPr>
        <w:tc>
          <w:tcPr>
            <w:tcW w:w="613" w:type="dxa"/>
            <w:shd w:val="clear" w:color="auto" w:fill="auto"/>
            <w:vAlign w:val="center"/>
          </w:tcPr>
          <w:p w:rsidR="002C1FEC" w:rsidRPr="001C4BFB" w:rsidRDefault="002C1FEC" w:rsidP="002C1FEC">
            <w:pPr>
              <w:pStyle w:val="TAC"/>
            </w:pPr>
            <w:r w:rsidRPr="001C4BFB">
              <w:t>2</w:t>
            </w:r>
          </w:p>
        </w:tc>
        <w:tc>
          <w:tcPr>
            <w:tcW w:w="1344" w:type="dxa"/>
            <w:vAlign w:val="center"/>
          </w:tcPr>
          <w:p w:rsidR="002C1FEC" w:rsidRPr="001C4BFB" w:rsidRDefault="002C1FEC" w:rsidP="002C1FEC">
            <w:pPr>
              <w:pStyle w:val="TAC"/>
            </w:pPr>
            <w:r w:rsidRPr="001C4BFB">
              <w:t>0.25</w:t>
            </w:r>
          </w:p>
        </w:tc>
        <w:tc>
          <w:tcPr>
            <w:tcW w:w="1529" w:type="dxa"/>
            <w:shd w:val="clear" w:color="auto" w:fill="auto"/>
            <w:vAlign w:val="center"/>
          </w:tcPr>
          <w:p w:rsidR="002C1FEC" w:rsidRPr="00FB1969" w:rsidRDefault="002C1FEC" w:rsidP="002C1FEC">
            <w:pPr>
              <w:pStyle w:val="TAC"/>
            </w:pPr>
            <w:r>
              <w:t>12</w:t>
            </w:r>
          </w:p>
        </w:tc>
        <w:tc>
          <w:tcPr>
            <w:tcW w:w="1329" w:type="dxa"/>
            <w:vAlign w:val="center"/>
          </w:tcPr>
          <w:p w:rsidR="002C1FEC" w:rsidRPr="00FB1969" w:rsidRDefault="002C1FEC" w:rsidP="002C1FEC">
            <w:pPr>
              <w:pStyle w:val="TAC"/>
            </w:pPr>
            <w:r>
              <w:t>8</w:t>
            </w:r>
          </w:p>
        </w:tc>
        <w:tc>
          <w:tcPr>
            <w:tcW w:w="567" w:type="dxa"/>
            <w:vAlign w:val="center"/>
          </w:tcPr>
          <w:p w:rsidR="002C1FEC" w:rsidRPr="001C4BFB" w:rsidRDefault="002C1FEC" w:rsidP="002C1FEC">
            <w:pPr>
              <w:pStyle w:val="TAC"/>
            </w:pPr>
            <w:r w:rsidRPr="001C4BFB">
              <w:t>2</w:t>
            </w:r>
          </w:p>
        </w:tc>
        <w:tc>
          <w:tcPr>
            <w:tcW w:w="1276" w:type="dxa"/>
            <w:vAlign w:val="center"/>
          </w:tcPr>
          <w:p w:rsidR="002C1FEC" w:rsidRPr="001C4BFB" w:rsidRDefault="002C1FEC" w:rsidP="002C1FEC">
            <w:pPr>
              <w:pStyle w:val="TAC"/>
            </w:pPr>
            <w:r w:rsidRPr="001C4BFB">
              <w:t>0.25</w:t>
            </w:r>
          </w:p>
        </w:tc>
        <w:tc>
          <w:tcPr>
            <w:tcW w:w="1485" w:type="dxa"/>
            <w:vAlign w:val="center"/>
          </w:tcPr>
          <w:p w:rsidR="002C1FEC" w:rsidRPr="00FB1969" w:rsidRDefault="002C1FEC" w:rsidP="002C1FEC">
            <w:pPr>
              <w:pStyle w:val="TAC"/>
            </w:pPr>
            <w:r>
              <w:t>8</w:t>
            </w:r>
          </w:p>
        </w:tc>
        <w:tc>
          <w:tcPr>
            <w:tcW w:w="1486" w:type="dxa"/>
            <w:vAlign w:val="center"/>
          </w:tcPr>
          <w:p w:rsidR="002C1FEC" w:rsidRPr="00FB1969" w:rsidRDefault="002C1FEC" w:rsidP="002C1FEC">
            <w:pPr>
              <w:pStyle w:val="TAC"/>
            </w:pPr>
            <w:r>
              <w:t>6</w:t>
            </w:r>
          </w:p>
        </w:tc>
      </w:tr>
      <w:tr w:rsidR="002C1FEC" w:rsidRPr="001C4BFB" w:rsidDel="00FC0501" w:rsidTr="002C1FEC">
        <w:trPr>
          <w:jc w:val="center"/>
        </w:trPr>
        <w:tc>
          <w:tcPr>
            <w:tcW w:w="613" w:type="dxa"/>
            <w:shd w:val="clear" w:color="auto" w:fill="auto"/>
            <w:vAlign w:val="center"/>
          </w:tcPr>
          <w:p w:rsidR="002C1FEC" w:rsidRPr="001C4BFB" w:rsidRDefault="002C1FEC" w:rsidP="002C1FEC">
            <w:pPr>
              <w:pStyle w:val="TAC"/>
            </w:pPr>
            <w:r w:rsidRPr="001C4BFB">
              <w:t>3</w:t>
            </w:r>
          </w:p>
        </w:tc>
        <w:tc>
          <w:tcPr>
            <w:tcW w:w="1344" w:type="dxa"/>
            <w:vAlign w:val="center"/>
          </w:tcPr>
          <w:p w:rsidR="002C1FEC" w:rsidRPr="001C4BFB" w:rsidRDefault="002C1FEC" w:rsidP="002C1FEC">
            <w:pPr>
              <w:pStyle w:val="TAC"/>
            </w:pPr>
            <w:r w:rsidRPr="001C4BFB">
              <w:t>0.125</w:t>
            </w:r>
          </w:p>
        </w:tc>
        <w:tc>
          <w:tcPr>
            <w:tcW w:w="1529" w:type="dxa"/>
            <w:shd w:val="clear" w:color="auto" w:fill="auto"/>
            <w:vAlign w:val="center"/>
          </w:tcPr>
          <w:p w:rsidR="002C1FEC" w:rsidRPr="00FB1969" w:rsidRDefault="002C1FEC" w:rsidP="002C1FEC">
            <w:pPr>
              <w:pStyle w:val="TAC"/>
            </w:pPr>
            <w:r>
              <w:t>24</w:t>
            </w:r>
          </w:p>
        </w:tc>
        <w:tc>
          <w:tcPr>
            <w:tcW w:w="1329" w:type="dxa"/>
            <w:vAlign w:val="center"/>
          </w:tcPr>
          <w:p w:rsidR="002C1FEC" w:rsidRPr="00FB1969" w:rsidRDefault="002C1FEC" w:rsidP="002C1FEC">
            <w:pPr>
              <w:pStyle w:val="TAC"/>
            </w:pPr>
            <w:r>
              <w:t>16</w:t>
            </w:r>
          </w:p>
        </w:tc>
        <w:tc>
          <w:tcPr>
            <w:tcW w:w="567" w:type="dxa"/>
            <w:vAlign w:val="center"/>
          </w:tcPr>
          <w:p w:rsidR="002C1FEC" w:rsidRPr="001C4BFB" w:rsidRDefault="002C1FEC" w:rsidP="002C1FEC">
            <w:pPr>
              <w:pStyle w:val="TAC"/>
            </w:pPr>
            <w:r w:rsidRPr="001C4BFB">
              <w:t>3</w:t>
            </w:r>
          </w:p>
        </w:tc>
        <w:tc>
          <w:tcPr>
            <w:tcW w:w="1276" w:type="dxa"/>
            <w:vAlign w:val="center"/>
          </w:tcPr>
          <w:p w:rsidR="002C1FEC" w:rsidRPr="001C4BFB" w:rsidRDefault="002C1FEC" w:rsidP="002C1FEC">
            <w:pPr>
              <w:pStyle w:val="TAC"/>
            </w:pPr>
            <w:r w:rsidRPr="001C4BFB">
              <w:t>0.125</w:t>
            </w:r>
          </w:p>
        </w:tc>
        <w:tc>
          <w:tcPr>
            <w:tcW w:w="1485" w:type="dxa"/>
            <w:vAlign w:val="center"/>
          </w:tcPr>
          <w:p w:rsidR="002C1FEC" w:rsidRPr="00FB1969" w:rsidRDefault="002C1FEC" w:rsidP="002C1FEC">
            <w:pPr>
              <w:pStyle w:val="TAC"/>
            </w:pPr>
            <w:r>
              <w:t>16</w:t>
            </w:r>
          </w:p>
        </w:tc>
        <w:tc>
          <w:tcPr>
            <w:tcW w:w="1486" w:type="dxa"/>
            <w:vAlign w:val="center"/>
          </w:tcPr>
          <w:p w:rsidR="002C1FEC" w:rsidRPr="00FB1969" w:rsidRDefault="002C1FEC" w:rsidP="002C1FEC">
            <w:pPr>
              <w:pStyle w:val="TAC"/>
            </w:pPr>
            <w:r>
              <w:t>12</w:t>
            </w:r>
          </w:p>
        </w:tc>
      </w:tr>
    </w:tbl>
    <w:p w:rsidR="007A42E9" w:rsidRPr="007A42E9" w:rsidRDefault="007A42E9" w:rsidP="00404714">
      <w:pPr>
        <w:pStyle w:val="a5"/>
        <w:jc w:val="both"/>
        <w:rPr>
          <w:lang w:val="en-US"/>
        </w:rPr>
      </w:pPr>
    </w:p>
    <w:p w:rsidR="008A1824" w:rsidRDefault="008A1824" w:rsidP="008A1824">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Pr>
          <w:rFonts w:ascii="Calibri" w:hAnsi="Calibri" w:cs="Calibri"/>
          <w:b/>
          <w:color w:val="0D0D0D"/>
          <w:sz w:val="24"/>
          <w:szCs w:val="24"/>
        </w:rPr>
        <w:tab/>
        <w:t>S</w:t>
      </w:r>
      <w:r>
        <w:rPr>
          <w:rFonts w:ascii="Calibri" w:eastAsia="新細明體" w:hAnsi="Calibri" w:cs="Calibri"/>
          <w:b/>
          <w:color w:val="0D0D0D"/>
          <w:sz w:val="24"/>
          <w:szCs w:val="24"/>
          <w:lang w:eastAsia="zh-TW"/>
        </w:rPr>
        <w:t>cenarios for BWP switching involving baseband parameter changes only</w:t>
      </w:r>
    </w:p>
    <w:p w:rsidR="00825D95" w:rsidRDefault="008A1824" w:rsidP="008A1824">
      <w:pPr>
        <w:jc w:val="both"/>
        <w:rPr>
          <w:lang w:val="en-GB" w:eastAsia="zh-TW"/>
        </w:rPr>
      </w:pPr>
      <w:r>
        <w:rPr>
          <w:lang w:val="en-GB" w:eastAsia="zh-TW"/>
        </w:rPr>
        <w:t xml:space="preserve">In </w:t>
      </w:r>
      <w:r w:rsidR="00825D95">
        <w:rPr>
          <w:lang w:val="en-GB" w:eastAsia="zh-TW"/>
        </w:rPr>
        <w:t>[1]</w:t>
      </w:r>
      <w:r>
        <w:rPr>
          <w:lang w:val="en-GB" w:eastAsia="zh-TW"/>
        </w:rPr>
        <w:t xml:space="preserve">, </w:t>
      </w:r>
      <w:r w:rsidR="00825D95" w:rsidRPr="00825D95">
        <w:rPr>
          <w:lang w:val="en-GB" w:eastAsia="zh-TW"/>
        </w:rPr>
        <w:t>companies are encouraged to provide the list of baseband parameters, which results in the corresponding BWP switching delay the same as scenario 1/2/3 or scenario 4</w:t>
      </w:r>
      <w:r w:rsidR="00825D95">
        <w:rPr>
          <w:lang w:val="en-GB" w:eastAsia="zh-TW"/>
        </w:rPr>
        <w:t>. In general, there are a lot of BWP-specific parameters to be discussed. It is infeasible to go through them one by one. It would be preferred to discuss some high-level principle first and then use the principle to categorize parameters into fast and slow.</w:t>
      </w:r>
    </w:p>
    <w:p w:rsidR="00175D88" w:rsidRDefault="00825D95" w:rsidP="008A1824">
      <w:pPr>
        <w:jc w:val="both"/>
        <w:rPr>
          <w:lang w:val="en-GB" w:eastAsia="zh-TW"/>
        </w:rPr>
      </w:pPr>
      <w:r>
        <w:rPr>
          <w:lang w:val="en-GB" w:eastAsia="zh-TW"/>
        </w:rPr>
        <w:t xml:space="preserve">From UE perspective, </w:t>
      </w:r>
      <w:r w:rsidR="00E5641C">
        <w:rPr>
          <w:lang w:val="en-GB" w:eastAsia="zh-TW"/>
        </w:rPr>
        <w:t>principle</w:t>
      </w:r>
      <w:r w:rsidR="00BE5746">
        <w:rPr>
          <w:lang w:val="en-GB" w:eastAsia="zh-TW"/>
        </w:rPr>
        <w:t>s</w:t>
      </w:r>
      <w:r w:rsidR="00E5641C">
        <w:rPr>
          <w:lang w:val="en-GB" w:eastAsia="zh-TW"/>
        </w:rPr>
        <w:t xml:space="preserve"> that can be considered </w:t>
      </w:r>
      <w:r w:rsidR="00BE5746">
        <w:rPr>
          <w:lang w:val="en-GB" w:eastAsia="zh-TW"/>
        </w:rPr>
        <w:t>are</w:t>
      </w:r>
      <w:r w:rsidR="00175D88">
        <w:rPr>
          <w:lang w:val="en-GB" w:eastAsia="zh-TW"/>
        </w:rPr>
        <w:t xml:space="preserve"> whether </w:t>
      </w:r>
      <w:r w:rsidR="00BC01AB">
        <w:rPr>
          <w:lang w:val="en-GB" w:eastAsia="zh-TW"/>
        </w:rPr>
        <w:t>the</w:t>
      </w:r>
      <w:r w:rsidR="00175D88">
        <w:rPr>
          <w:lang w:val="en-GB" w:eastAsia="zh-TW"/>
        </w:rPr>
        <w:t xml:space="preserve"> parameter</w:t>
      </w:r>
      <w:r w:rsidR="00E5641C">
        <w:rPr>
          <w:lang w:val="en-GB" w:eastAsia="zh-TW"/>
        </w:rPr>
        <w:t xml:space="preserve"> involves any inter-slot dependency</w:t>
      </w:r>
      <w:r w:rsidR="00175D88">
        <w:rPr>
          <w:lang w:val="en-GB" w:eastAsia="zh-TW"/>
        </w:rPr>
        <w:t xml:space="preserve">, whether </w:t>
      </w:r>
      <w:r w:rsidR="00BC01AB">
        <w:rPr>
          <w:lang w:val="en-GB" w:eastAsia="zh-TW"/>
        </w:rPr>
        <w:t>the</w:t>
      </w:r>
      <w:r w:rsidR="00175D88">
        <w:rPr>
          <w:lang w:val="en-GB" w:eastAsia="zh-TW"/>
        </w:rPr>
        <w:t xml:space="preserve"> parameter</w:t>
      </w:r>
      <w:r w:rsidR="00E5641C">
        <w:rPr>
          <w:lang w:val="en-GB" w:eastAsia="zh-TW"/>
        </w:rPr>
        <w:t xml:space="preserve"> has a h</w:t>
      </w:r>
      <w:r w:rsidR="00BC01AB">
        <w:rPr>
          <w:lang w:val="en-GB" w:eastAsia="zh-TW"/>
        </w:rPr>
        <w:t>igh impact to other procedures and whether the parameters will be applied immediately.</w:t>
      </w:r>
    </w:p>
    <w:p w:rsidR="00825D95" w:rsidRDefault="00175D88" w:rsidP="008A1824">
      <w:pPr>
        <w:jc w:val="both"/>
        <w:rPr>
          <w:lang w:val="en-GB" w:eastAsia="zh-TW"/>
        </w:rPr>
      </w:pPr>
      <w:r>
        <w:rPr>
          <w:lang w:val="en-GB" w:eastAsia="zh-TW"/>
        </w:rPr>
        <w:t>Some examples with detail explanations are provided below:</w:t>
      </w:r>
    </w:p>
    <w:p w:rsidR="00313FD2" w:rsidRDefault="00313FD2" w:rsidP="00825D95">
      <w:pPr>
        <w:pStyle w:val="a9"/>
        <w:numPr>
          <w:ilvl w:val="0"/>
          <w:numId w:val="17"/>
        </w:numPr>
        <w:jc w:val="both"/>
        <w:rPr>
          <w:lang w:val="en-GB" w:eastAsia="zh-TW"/>
        </w:rPr>
      </w:pPr>
      <w:r>
        <w:rPr>
          <w:lang w:val="en-GB" w:eastAsia="zh-TW"/>
        </w:rPr>
        <w:lastRenderedPageBreak/>
        <w:t>Slow</w:t>
      </w:r>
    </w:p>
    <w:p w:rsidR="00313FD2" w:rsidRDefault="00313FD2" w:rsidP="00313FD2">
      <w:pPr>
        <w:pStyle w:val="a9"/>
        <w:numPr>
          <w:ilvl w:val="1"/>
          <w:numId w:val="17"/>
        </w:numPr>
        <w:jc w:val="both"/>
        <w:rPr>
          <w:lang w:val="en-GB" w:eastAsia="zh-TW"/>
        </w:rPr>
      </w:pPr>
      <w:r>
        <w:rPr>
          <w:lang w:val="en-GB" w:eastAsia="zh-TW"/>
        </w:rPr>
        <w:t>Parameters for PDCCH: Setting in PDCCH has impact on not only in PDCCH decoding itself but also the later PDSCH decoding, HARQ timing and RLM.</w:t>
      </w:r>
    </w:p>
    <w:p w:rsidR="00313FD2" w:rsidRDefault="00313FD2" w:rsidP="00313FD2">
      <w:pPr>
        <w:pStyle w:val="a9"/>
        <w:numPr>
          <w:ilvl w:val="1"/>
          <w:numId w:val="17"/>
        </w:numPr>
        <w:jc w:val="both"/>
        <w:rPr>
          <w:lang w:val="en-GB" w:eastAsia="zh-TW"/>
        </w:rPr>
      </w:pPr>
      <w:r>
        <w:rPr>
          <w:lang w:val="en-GB" w:eastAsia="zh-TW"/>
        </w:rPr>
        <w:t>Parameters for SPS: UE needs to cancel the already-scheduled PDSCH decoding tasks in future slots and re-schedule the new PDSCH decoding task in newly allocated future slots.</w:t>
      </w:r>
    </w:p>
    <w:p w:rsidR="00313FD2" w:rsidRDefault="00313FD2" w:rsidP="00313FD2">
      <w:pPr>
        <w:pStyle w:val="a9"/>
        <w:numPr>
          <w:ilvl w:val="1"/>
          <w:numId w:val="17"/>
        </w:numPr>
        <w:jc w:val="both"/>
        <w:rPr>
          <w:lang w:val="en-GB" w:eastAsia="zh-TW"/>
        </w:rPr>
      </w:pPr>
      <w:r>
        <w:rPr>
          <w:lang w:val="en-GB" w:eastAsia="zh-TW"/>
        </w:rPr>
        <w:t>Parameters for RLM: UE needs to cancel the already-scheduled RLM tasks in future slots and re-schedule the new RLM task in newly allocated future slots. The dependency to RRM, BM, BFD, BFR and scheduling availability will also needs to be re-calculated.</w:t>
      </w:r>
    </w:p>
    <w:p w:rsidR="00506AD8" w:rsidRPr="00313FD2" w:rsidRDefault="00506AD8" w:rsidP="00313FD2">
      <w:pPr>
        <w:pStyle w:val="a9"/>
        <w:numPr>
          <w:ilvl w:val="1"/>
          <w:numId w:val="17"/>
        </w:numPr>
        <w:jc w:val="both"/>
        <w:rPr>
          <w:lang w:val="en-GB" w:eastAsia="zh-TW"/>
        </w:rPr>
      </w:pPr>
      <w:r>
        <w:rPr>
          <w:lang w:val="en-GB" w:eastAsia="zh-TW"/>
        </w:rPr>
        <w:t>Parameters</w:t>
      </w:r>
      <w:r w:rsidRPr="00506AD8">
        <w:rPr>
          <w:lang w:val="en-GB" w:eastAsia="zh-TW"/>
        </w:rPr>
        <w:t xml:space="preserve"> </w:t>
      </w:r>
      <w:r>
        <w:rPr>
          <w:lang w:val="en-GB" w:eastAsia="zh-TW"/>
        </w:rPr>
        <w:t xml:space="preserve">for </w:t>
      </w:r>
      <w:r w:rsidRPr="00506AD8">
        <w:rPr>
          <w:lang w:val="en-GB" w:eastAsia="zh-TW"/>
        </w:rPr>
        <w:t>TCI-State</w:t>
      </w:r>
      <w:r>
        <w:rPr>
          <w:lang w:val="en-GB" w:eastAsia="zh-TW"/>
        </w:rPr>
        <w:t>: This may impact on UE Rx beam selection in other procedures, e.g., RLM, BM, and UL Tx beam correspondence.</w:t>
      </w:r>
    </w:p>
    <w:p w:rsidR="00313FD2" w:rsidRDefault="00313FD2" w:rsidP="00825D95">
      <w:pPr>
        <w:pStyle w:val="a9"/>
        <w:numPr>
          <w:ilvl w:val="0"/>
          <w:numId w:val="17"/>
        </w:numPr>
        <w:jc w:val="both"/>
        <w:rPr>
          <w:lang w:val="en-GB" w:eastAsia="zh-TW"/>
        </w:rPr>
      </w:pPr>
      <w:r>
        <w:rPr>
          <w:lang w:val="en-GB" w:eastAsia="zh-TW"/>
        </w:rPr>
        <w:t>Fast</w:t>
      </w:r>
    </w:p>
    <w:p w:rsidR="00E5641C" w:rsidRDefault="00313FD2" w:rsidP="00313FD2">
      <w:pPr>
        <w:pStyle w:val="a9"/>
        <w:numPr>
          <w:ilvl w:val="1"/>
          <w:numId w:val="17"/>
        </w:numPr>
        <w:jc w:val="both"/>
        <w:rPr>
          <w:lang w:val="en-GB" w:eastAsia="zh-TW"/>
        </w:rPr>
      </w:pPr>
      <w:r>
        <w:rPr>
          <w:lang w:val="en-GB" w:eastAsia="zh-TW"/>
        </w:rPr>
        <w:t>Parameters for PDSCH:</w:t>
      </w:r>
      <w:r w:rsidR="00E5641C">
        <w:rPr>
          <w:lang w:val="en-GB" w:eastAsia="zh-TW"/>
        </w:rPr>
        <w:t xml:space="preserve"> </w:t>
      </w:r>
      <w:r w:rsidR="00506AD8">
        <w:rPr>
          <w:lang w:val="en-GB" w:eastAsia="zh-TW"/>
        </w:rPr>
        <w:t>I</w:t>
      </w:r>
      <w:r w:rsidR="00E5641C">
        <w:rPr>
          <w:lang w:val="en-GB" w:eastAsia="zh-TW"/>
        </w:rPr>
        <w:t>ts impact</w:t>
      </w:r>
      <w:r w:rsidR="0008662D">
        <w:rPr>
          <w:lang w:val="en-GB" w:eastAsia="zh-TW"/>
        </w:rPr>
        <w:t xml:space="preserve"> is limited to PDSCH decoding itself only</w:t>
      </w:r>
      <w:r w:rsidR="00E5641C">
        <w:rPr>
          <w:lang w:val="en-GB" w:eastAsia="zh-TW"/>
        </w:rPr>
        <w:t xml:space="preserve">. </w:t>
      </w:r>
    </w:p>
    <w:p w:rsidR="00BC01AB" w:rsidRDefault="00BC01AB" w:rsidP="00BC01AB">
      <w:pPr>
        <w:pStyle w:val="a9"/>
        <w:numPr>
          <w:ilvl w:val="0"/>
          <w:numId w:val="17"/>
        </w:numPr>
        <w:jc w:val="both"/>
        <w:rPr>
          <w:lang w:val="en-GB" w:eastAsia="zh-TW"/>
        </w:rPr>
      </w:pPr>
      <w:r>
        <w:rPr>
          <w:lang w:val="en-GB" w:eastAsia="zh-TW"/>
        </w:rPr>
        <w:t>Not relevant (can be treated as fast)</w:t>
      </w:r>
    </w:p>
    <w:p w:rsidR="00685EE7" w:rsidRDefault="00685EE7" w:rsidP="00313FD2">
      <w:pPr>
        <w:pStyle w:val="a9"/>
        <w:numPr>
          <w:ilvl w:val="1"/>
          <w:numId w:val="17"/>
        </w:numPr>
        <w:jc w:val="both"/>
        <w:rPr>
          <w:lang w:val="en-GB" w:eastAsia="zh-TW"/>
        </w:rPr>
      </w:pPr>
      <w:r>
        <w:rPr>
          <w:lang w:val="en-GB" w:eastAsia="zh-TW"/>
        </w:rPr>
        <w:t>Usually, UL parameters that are not expected to be used immediately can be considered as fast, such as PRACH and BFR.</w:t>
      </w:r>
    </w:p>
    <w:p w:rsidR="00825D95" w:rsidRDefault="00506AD8" w:rsidP="008A1824">
      <w:pPr>
        <w:jc w:val="both"/>
        <w:rPr>
          <w:lang w:val="en-GB" w:eastAsia="zh-TW"/>
        </w:rPr>
      </w:pPr>
      <w:r>
        <w:rPr>
          <w:lang w:val="en-GB" w:eastAsia="zh-TW"/>
        </w:rPr>
        <w:t xml:space="preserve">Based on the principle, </w:t>
      </w:r>
      <w:r>
        <w:rPr>
          <w:lang w:val="en-GB" w:eastAsia="zh-TW"/>
        </w:rPr>
        <w:fldChar w:fldCharType="begin"/>
      </w:r>
      <w:r>
        <w:rPr>
          <w:lang w:val="en-GB" w:eastAsia="zh-TW"/>
        </w:rPr>
        <w:instrText xml:space="preserve"> REF _Ref521425936 \h </w:instrText>
      </w:r>
      <w:r>
        <w:rPr>
          <w:lang w:val="en-GB" w:eastAsia="zh-TW"/>
        </w:rPr>
      </w:r>
      <w:r>
        <w:rPr>
          <w:lang w:val="en-GB" w:eastAsia="zh-TW"/>
        </w:rPr>
        <w:fldChar w:fldCharType="separate"/>
      </w:r>
      <w:r>
        <w:t xml:space="preserve">Table </w:t>
      </w:r>
      <w:r>
        <w:rPr>
          <w:noProof/>
        </w:rPr>
        <w:t>4</w:t>
      </w:r>
      <w:r>
        <w:rPr>
          <w:lang w:val="en-GB" w:eastAsia="zh-TW"/>
        </w:rPr>
        <w:fldChar w:fldCharType="end"/>
      </w:r>
      <w:r>
        <w:rPr>
          <w:lang w:val="en-GB" w:eastAsia="zh-TW"/>
        </w:rPr>
        <w:t xml:space="preserve"> provides a list of parameters together with our view on fast or slow</w:t>
      </w:r>
    </w:p>
    <w:p w:rsidR="00685EE7" w:rsidRDefault="00685EE7" w:rsidP="00685EE7">
      <w:pPr>
        <w:pStyle w:val="a5"/>
        <w:jc w:val="center"/>
      </w:pPr>
      <w:bookmarkStart w:id="13" w:name="_Ref521425936"/>
    </w:p>
    <w:p w:rsidR="00506AD8" w:rsidRDefault="00506AD8" w:rsidP="00685EE7">
      <w:pPr>
        <w:pStyle w:val="a5"/>
        <w:jc w:val="center"/>
        <w:rPr>
          <w:lang w:val="en-GB" w:eastAsia="zh-TW"/>
        </w:rPr>
      </w:pPr>
      <w:r>
        <w:t xml:space="preserve">Table </w:t>
      </w:r>
      <w:r w:rsidR="00593178">
        <w:fldChar w:fldCharType="begin"/>
      </w:r>
      <w:r w:rsidR="00593178">
        <w:instrText xml:space="preserve"> SEQ Table \* ARABIC </w:instrText>
      </w:r>
      <w:r w:rsidR="00593178">
        <w:fldChar w:fldCharType="separate"/>
      </w:r>
      <w:r>
        <w:rPr>
          <w:noProof/>
        </w:rPr>
        <w:t>4</w:t>
      </w:r>
      <w:r w:rsidR="00593178">
        <w:rPr>
          <w:noProof/>
        </w:rPr>
        <w:fldChar w:fldCharType="end"/>
      </w:r>
      <w:bookmarkEnd w:id="13"/>
      <w:r w:rsidR="00685EE7">
        <w:t xml:space="preserve"> List of fast and slow baseband parameters in BWP configurations </w:t>
      </w:r>
    </w:p>
    <w:tbl>
      <w:tblPr>
        <w:tblStyle w:val="ad"/>
        <w:tblW w:w="0" w:type="auto"/>
        <w:jc w:val="center"/>
        <w:tblLook w:val="04A0" w:firstRow="1" w:lastRow="0" w:firstColumn="1" w:lastColumn="0" w:noHBand="0" w:noVBand="1"/>
      </w:tblPr>
      <w:tblGrid>
        <w:gridCol w:w="831"/>
        <w:gridCol w:w="1625"/>
        <w:gridCol w:w="1255"/>
        <w:gridCol w:w="1409"/>
      </w:tblGrid>
      <w:tr w:rsidR="00685EE7" w:rsidTr="00685EE7">
        <w:trPr>
          <w:trHeight w:val="324"/>
          <w:jc w:val="center"/>
        </w:trPr>
        <w:tc>
          <w:tcPr>
            <w:tcW w:w="0" w:type="auto"/>
          </w:tcPr>
          <w:p w:rsidR="00685EE7" w:rsidRPr="00685EE7" w:rsidRDefault="00685EE7" w:rsidP="004519A4">
            <w:pPr>
              <w:rPr>
                <w:b/>
                <w:bCs/>
                <w:color w:val="000000"/>
                <w:sz w:val="24"/>
                <w:szCs w:val="24"/>
              </w:rPr>
            </w:pPr>
            <w:r w:rsidRPr="00685EE7">
              <w:rPr>
                <w:b/>
                <w:bCs/>
                <w:color w:val="000000"/>
                <w:sz w:val="24"/>
                <w:szCs w:val="24"/>
              </w:rPr>
              <w:t>DL/UL</w:t>
            </w:r>
          </w:p>
        </w:tc>
        <w:tc>
          <w:tcPr>
            <w:tcW w:w="0" w:type="auto"/>
            <w:gridSpan w:val="2"/>
          </w:tcPr>
          <w:p w:rsidR="00685EE7" w:rsidRPr="00685EE7" w:rsidRDefault="00685EE7" w:rsidP="004519A4">
            <w:pPr>
              <w:rPr>
                <w:b/>
                <w:bCs/>
                <w:color w:val="000000"/>
                <w:sz w:val="24"/>
                <w:szCs w:val="24"/>
              </w:rPr>
            </w:pPr>
            <w:r w:rsidRPr="00685EE7">
              <w:rPr>
                <w:b/>
                <w:bCs/>
                <w:color w:val="000000"/>
                <w:sz w:val="24"/>
                <w:szCs w:val="24"/>
              </w:rPr>
              <w:t>baseband parameters</w:t>
            </w:r>
          </w:p>
        </w:tc>
        <w:tc>
          <w:tcPr>
            <w:tcW w:w="0" w:type="auto"/>
            <w:hideMark/>
          </w:tcPr>
          <w:p w:rsidR="00685EE7" w:rsidRPr="00685EE7" w:rsidRDefault="00685EE7" w:rsidP="004519A4">
            <w:pPr>
              <w:jc w:val="center"/>
              <w:rPr>
                <w:b/>
                <w:bCs/>
                <w:color w:val="000000"/>
                <w:sz w:val="24"/>
                <w:szCs w:val="24"/>
              </w:rPr>
            </w:pPr>
            <w:r w:rsidRPr="00685EE7">
              <w:rPr>
                <w:b/>
                <w:bCs/>
                <w:color w:val="000000"/>
                <w:sz w:val="24"/>
                <w:szCs w:val="24"/>
              </w:rPr>
              <w:t>Fast or slow</w:t>
            </w:r>
          </w:p>
        </w:tc>
      </w:tr>
      <w:tr w:rsidR="00685EE7" w:rsidTr="00685EE7">
        <w:trPr>
          <w:trHeight w:val="74"/>
          <w:jc w:val="center"/>
        </w:trPr>
        <w:tc>
          <w:tcPr>
            <w:tcW w:w="0" w:type="auto"/>
            <w:vMerge w:val="restart"/>
            <w:vAlign w:val="center"/>
          </w:tcPr>
          <w:p w:rsidR="00685EE7" w:rsidRPr="00685EE7" w:rsidRDefault="00685EE7" w:rsidP="004519A4">
            <w:pPr>
              <w:jc w:val="center"/>
              <w:rPr>
                <w:iCs/>
                <w:color w:val="000000"/>
                <w:sz w:val="24"/>
                <w:szCs w:val="24"/>
              </w:rPr>
            </w:pPr>
            <w:r w:rsidRPr="00685EE7">
              <w:rPr>
                <w:iCs/>
                <w:color w:val="000000"/>
                <w:sz w:val="24"/>
                <w:szCs w:val="24"/>
              </w:rPr>
              <w:t>DL</w:t>
            </w:r>
          </w:p>
        </w:tc>
        <w:tc>
          <w:tcPr>
            <w:tcW w:w="0" w:type="auto"/>
            <w:gridSpan w:val="2"/>
            <w:vAlign w:val="center"/>
          </w:tcPr>
          <w:p w:rsidR="00685EE7" w:rsidRPr="00685EE7" w:rsidRDefault="00685EE7" w:rsidP="00685EE7">
            <w:pPr>
              <w:rPr>
                <w:iCs/>
                <w:color w:val="000000"/>
                <w:sz w:val="24"/>
                <w:szCs w:val="24"/>
              </w:rPr>
            </w:pPr>
            <w:r w:rsidRPr="00685EE7">
              <w:rPr>
                <w:iCs/>
                <w:color w:val="000000"/>
                <w:sz w:val="24"/>
                <w:szCs w:val="24"/>
              </w:rPr>
              <w:t>PDCCH-Config</w:t>
            </w:r>
          </w:p>
        </w:tc>
        <w:tc>
          <w:tcPr>
            <w:tcW w:w="0" w:type="auto"/>
            <w:vAlign w:val="center"/>
            <w:hideMark/>
          </w:tcPr>
          <w:p w:rsidR="00685EE7" w:rsidRPr="00BC01AB" w:rsidRDefault="00685EE7" w:rsidP="004519A4">
            <w:pPr>
              <w:jc w:val="center"/>
              <w:rPr>
                <w:color w:val="FF0000"/>
                <w:sz w:val="24"/>
                <w:szCs w:val="24"/>
              </w:rPr>
            </w:pPr>
            <w:r w:rsidRPr="00BC01AB">
              <w:rPr>
                <w:bCs/>
                <w:color w:val="FF0000"/>
                <w:sz w:val="24"/>
                <w:szCs w:val="24"/>
              </w:rPr>
              <w:t>Slow</w:t>
            </w:r>
          </w:p>
        </w:tc>
      </w:tr>
      <w:tr w:rsidR="00685EE7" w:rsidTr="00685EE7">
        <w:trPr>
          <w:trHeight w:val="142"/>
          <w:jc w:val="center"/>
        </w:trPr>
        <w:tc>
          <w:tcPr>
            <w:tcW w:w="0" w:type="auto"/>
            <w:vMerge/>
          </w:tcPr>
          <w:p w:rsidR="00685EE7" w:rsidRPr="00685EE7" w:rsidRDefault="00685EE7" w:rsidP="004519A4">
            <w:pPr>
              <w:rPr>
                <w:color w:val="000000"/>
                <w:sz w:val="24"/>
                <w:szCs w:val="24"/>
              </w:rPr>
            </w:pPr>
          </w:p>
        </w:tc>
        <w:tc>
          <w:tcPr>
            <w:tcW w:w="0" w:type="auto"/>
            <w:vMerge w:val="restart"/>
            <w:vAlign w:val="center"/>
          </w:tcPr>
          <w:p w:rsidR="00685EE7" w:rsidRPr="00685EE7" w:rsidRDefault="00685EE7" w:rsidP="00685EE7">
            <w:pPr>
              <w:rPr>
                <w:color w:val="000000"/>
                <w:sz w:val="24"/>
                <w:szCs w:val="24"/>
              </w:rPr>
            </w:pPr>
            <w:r w:rsidRPr="00685EE7">
              <w:rPr>
                <w:color w:val="000000"/>
                <w:sz w:val="24"/>
                <w:szCs w:val="24"/>
              </w:rPr>
              <w:t>PDSCH-Config</w:t>
            </w:r>
          </w:p>
        </w:tc>
        <w:tc>
          <w:tcPr>
            <w:tcW w:w="0" w:type="auto"/>
            <w:vAlign w:val="center"/>
            <w:hideMark/>
          </w:tcPr>
          <w:p w:rsidR="00685EE7" w:rsidRPr="00685EE7" w:rsidRDefault="00685EE7" w:rsidP="00685EE7">
            <w:pPr>
              <w:rPr>
                <w:iCs/>
                <w:color w:val="000000"/>
                <w:sz w:val="24"/>
                <w:szCs w:val="24"/>
              </w:rPr>
            </w:pPr>
            <w:r w:rsidRPr="00685EE7">
              <w:rPr>
                <w:iCs/>
                <w:color w:val="000000"/>
                <w:sz w:val="24"/>
                <w:szCs w:val="24"/>
              </w:rPr>
              <w:t>TCI-State</w:t>
            </w:r>
          </w:p>
        </w:tc>
        <w:tc>
          <w:tcPr>
            <w:tcW w:w="0" w:type="auto"/>
            <w:vAlign w:val="center"/>
            <w:hideMark/>
          </w:tcPr>
          <w:p w:rsidR="00685EE7" w:rsidRPr="00BC01AB" w:rsidRDefault="00685EE7" w:rsidP="004519A4">
            <w:pPr>
              <w:jc w:val="center"/>
              <w:rPr>
                <w:color w:val="FF0000"/>
                <w:sz w:val="24"/>
                <w:szCs w:val="24"/>
              </w:rPr>
            </w:pPr>
            <w:r w:rsidRPr="00BC01AB">
              <w:rPr>
                <w:bCs/>
                <w:color w:val="FF0000"/>
                <w:sz w:val="24"/>
                <w:szCs w:val="24"/>
              </w:rPr>
              <w:t>Slow</w:t>
            </w:r>
          </w:p>
        </w:tc>
      </w:tr>
      <w:tr w:rsidR="00685EE7" w:rsidTr="00685EE7">
        <w:trPr>
          <w:trHeight w:val="42"/>
          <w:jc w:val="center"/>
        </w:trPr>
        <w:tc>
          <w:tcPr>
            <w:tcW w:w="0" w:type="auto"/>
            <w:vMerge/>
          </w:tcPr>
          <w:p w:rsidR="00685EE7" w:rsidRPr="00685EE7" w:rsidRDefault="00685EE7" w:rsidP="004519A4">
            <w:pPr>
              <w:rPr>
                <w:color w:val="000000"/>
                <w:sz w:val="24"/>
                <w:szCs w:val="24"/>
              </w:rPr>
            </w:pPr>
          </w:p>
        </w:tc>
        <w:tc>
          <w:tcPr>
            <w:tcW w:w="0" w:type="auto"/>
            <w:vMerge/>
            <w:vAlign w:val="center"/>
          </w:tcPr>
          <w:p w:rsidR="00685EE7" w:rsidRPr="00685EE7" w:rsidRDefault="00685EE7" w:rsidP="004519A4">
            <w:pPr>
              <w:rPr>
                <w:color w:val="000000"/>
                <w:sz w:val="24"/>
                <w:szCs w:val="24"/>
              </w:rPr>
            </w:pPr>
          </w:p>
        </w:tc>
        <w:tc>
          <w:tcPr>
            <w:tcW w:w="0" w:type="auto"/>
            <w:vAlign w:val="center"/>
            <w:hideMark/>
          </w:tcPr>
          <w:p w:rsidR="00685EE7" w:rsidRPr="00685EE7" w:rsidRDefault="00685EE7" w:rsidP="004519A4">
            <w:pPr>
              <w:rPr>
                <w:iCs/>
                <w:color w:val="000000"/>
                <w:sz w:val="24"/>
                <w:szCs w:val="24"/>
              </w:rPr>
            </w:pPr>
            <w:r w:rsidRPr="00685EE7">
              <w:rPr>
                <w:iCs/>
                <w:color w:val="000000"/>
                <w:sz w:val="24"/>
                <w:szCs w:val="24"/>
              </w:rPr>
              <w:t>others</w:t>
            </w:r>
          </w:p>
        </w:tc>
        <w:tc>
          <w:tcPr>
            <w:tcW w:w="0" w:type="auto"/>
            <w:vAlign w:val="center"/>
            <w:hideMark/>
          </w:tcPr>
          <w:p w:rsidR="00685EE7" w:rsidRPr="00BC01AB" w:rsidRDefault="00685EE7" w:rsidP="004519A4">
            <w:pPr>
              <w:jc w:val="center"/>
              <w:rPr>
                <w:sz w:val="24"/>
                <w:szCs w:val="24"/>
              </w:rPr>
            </w:pPr>
            <w:r w:rsidRPr="00BC01AB">
              <w:rPr>
                <w:bCs/>
                <w:sz w:val="24"/>
                <w:szCs w:val="24"/>
              </w:rPr>
              <w:t>Fast</w:t>
            </w:r>
          </w:p>
        </w:tc>
      </w:tr>
      <w:tr w:rsidR="00685EE7" w:rsidTr="00685EE7">
        <w:trPr>
          <w:trHeight w:val="42"/>
          <w:jc w:val="center"/>
        </w:trPr>
        <w:tc>
          <w:tcPr>
            <w:tcW w:w="0" w:type="auto"/>
            <w:vMerge/>
          </w:tcPr>
          <w:p w:rsidR="00685EE7" w:rsidRPr="00685EE7" w:rsidRDefault="00685EE7" w:rsidP="004519A4">
            <w:pPr>
              <w:rPr>
                <w:iCs/>
                <w:color w:val="000000"/>
                <w:sz w:val="24"/>
                <w:szCs w:val="24"/>
              </w:rPr>
            </w:pPr>
          </w:p>
        </w:tc>
        <w:tc>
          <w:tcPr>
            <w:tcW w:w="0" w:type="auto"/>
            <w:gridSpan w:val="2"/>
            <w:vAlign w:val="center"/>
          </w:tcPr>
          <w:p w:rsidR="00685EE7" w:rsidRPr="00685EE7" w:rsidRDefault="00685EE7" w:rsidP="004519A4">
            <w:pPr>
              <w:rPr>
                <w:color w:val="000000"/>
                <w:sz w:val="24"/>
                <w:szCs w:val="24"/>
              </w:rPr>
            </w:pPr>
            <w:r w:rsidRPr="00685EE7">
              <w:rPr>
                <w:iCs/>
                <w:color w:val="000000"/>
                <w:sz w:val="24"/>
                <w:szCs w:val="24"/>
              </w:rPr>
              <w:t>sps-Config</w:t>
            </w:r>
          </w:p>
        </w:tc>
        <w:tc>
          <w:tcPr>
            <w:tcW w:w="0" w:type="auto"/>
            <w:vAlign w:val="center"/>
            <w:hideMark/>
          </w:tcPr>
          <w:p w:rsidR="00685EE7" w:rsidRPr="00BC01AB" w:rsidRDefault="00685EE7" w:rsidP="004519A4">
            <w:pPr>
              <w:jc w:val="center"/>
              <w:rPr>
                <w:color w:val="FF0000"/>
                <w:sz w:val="24"/>
                <w:szCs w:val="24"/>
              </w:rPr>
            </w:pPr>
            <w:r w:rsidRPr="00BC01AB">
              <w:rPr>
                <w:bCs/>
                <w:color w:val="FF0000"/>
                <w:sz w:val="24"/>
                <w:szCs w:val="24"/>
              </w:rPr>
              <w:t>Slow</w:t>
            </w:r>
          </w:p>
        </w:tc>
      </w:tr>
      <w:tr w:rsidR="00685EE7" w:rsidTr="00685EE7">
        <w:trPr>
          <w:trHeight w:val="129"/>
          <w:jc w:val="center"/>
        </w:trPr>
        <w:tc>
          <w:tcPr>
            <w:tcW w:w="0" w:type="auto"/>
            <w:vMerge/>
          </w:tcPr>
          <w:p w:rsidR="00685EE7" w:rsidRPr="00685EE7" w:rsidRDefault="00685EE7" w:rsidP="004519A4">
            <w:pPr>
              <w:rPr>
                <w:iCs/>
                <w:color w:val="000000"/>
                <w:sz w:val="24"/>
                <w:szCs w:val="24"/>
              </w:rPr>
            </w:pPr>
          </w:p>
        </w:tc>
        <w:tc>
          <w:tcPr>
            <w:tcW w:w="0" w:type="auto"/>
            <w:gridSpan w:val="2"/>
            <w:vAlign w:val="center"/>
          </w:tcPr>
          <w:p w:rsidR="00685EE7" w:rsidRPr="00685EE7" w:rsidRDefault="00685EE7" w:rsidP="004519A4">
            <w:pPr>
              <w:rPr>
                <w:color w:val="000000"/>
                <w:sz w:val="24"/>
                <w:szCs w:val="24"/>
              </w:rPr>
            </w:pPr>
            <w:r w:rsidRPr="00685EE7">
              <w:rPr>
                <w:iCs/>
                <w:color w:val="000000"/>
                <w:sz w:val="24"/>
                <w:szCs w:val="24"/>
              </w:rPr>
              <w:t>RadioLinkMonitoringConfig</w:t>
            </w:r>
          </w:p>
        </w:tc>
        <w:tc>
          <w:tcPr>
            <w:tcW w:w="0" w:type="auto"/>
            <w:vAlign w:val="center"/>
            <w:hideMark/>
          </w:tcPr>
          <w:p w:rsidR="00685EE7" w:rsidRPr="00BC01AB" w:rsidRDefault="00685EE7" w:rsidP="004519A4">
            <w:pPr>
              <w:jc w:val="center"/>
              <w:rPr>
                <w:color w:val="FF0000"/>
                <w:sz w:val="24"/>
                <w:szCs w:val="24"/>
              </w:rPr>
            </w:pPr>
            <w:r w:rsidRPr="00BC01AB">
              <w:rPr>
                <w:bCs/>
                <w:color w:val="FF0000"/>
                <w:sz w:val="24"/>
                <w:szCs w:val="24"/>
              </w:rPr>
              <w:t>Slow</w:t>
            </w:r>
          </w:p>
        </w:tc>
      </w:tr>
      <w:tr w:rsidR="00685EE7" w:rsidTr="00685EE7">
        <w:trPr>
          <w:trHeight w:val="134"/>
          <w:jc w:val="center"/>
        </w:trPr>
        <w:tc>
          <w:tcPr>
            <w:tcW w:w="0" w:type="auto"/>
            <w:vMerge w:val="restart"/>
            <w:vAlign w:val="center"/>
          </w:tcPr>
          <w:p w:rsidR="00685EE7" w:rsidRPr="00685EE7" w:rsidRDefault="00685EE7" w:rsidP="004519A4">
            <w:pPr>
              <w:jc w:val="center"/>
              <w:rPr>
                <w:color w:val="000000"/>
              </w:rPr>
            </w:pPr>
            <w:r w:rsidRPr="00685EE7">
              <w:rPr>
                <w:color w:val="000000"/>
              </w:rPr>
              <w:t>UL</w:t>
            </w:r>
          </w:p>
        </w:tc>
        <w:tc>
          <w:tcPr>
            <w:tcW w:w="0" w:type="auto"/>
            <w:gridSpan w:val="2"/>
            <w:vAlign w:val="center"/>
          </w:tcPr>
          <w:p w:rsidR="00685EE7" w:rsidRPr="00685EE7" w:rsidRDefault="00685EE7" w:rsidP="004519A4">
            <w:pPr>
              <w:rPr>
                <w:iCs/>
                <w:color w:val="000000"/>
                <w:sz w:val="24"/>
                <w:szCs w:val="24"/>
              </w:rPr>
            </w:pPr>
            <w:r w:rsidRPr="00685EE7">
              <w:rPr>
                <w:color w:val="000000"/>
              </w:rPr>
              <w:t>RACH-Config</w:t>
            </w:r>
          </w:p>
        </w:tc>
        <w:tc>
          <w:tcPr>
            <w:tcW w:w="0" w:type="auto"/>
            <w:vAlign w:val="center"/>
          </w:tcPr>
          <w:p w:rsidR="00685EE7" w:rsidRPr="00BC01AB" w:rsidRDefault="00685EE7" w:rsidP="004519A4">
            <w:pPr>
              <w:jc w:val="center"/>
            </w:pPr>
            <w:r w:rsidRPr="00BC01AB">
              <w:rPr>
                <w:bCs/>
                <w:sz w:val="24"/>
                <w:szCs w:val="24"/>
              </w:rPr>
              <w:t>Fast</w:t>
            </w:r>
          </w:p>
        </w:tc>
      </w:tr>
      <w:tr w:rsidR="00685EE7" w:rsidTr="00685EE7">
        <w:trPr>
          <w:trHeight w:val="42"/>
          <w:jc w:val="center"/>
        </w:trPr>
        <w:tc>
          <w:tcPr>
            <w:tcW w:w="0" w:type="auto"/>
            <w:vMerge/>
          </w:tcPr>
          <w:p w:rsidR="00685EE7" w:rsidRPr="00685EE7" w:rsidRDefault="00685EE7" w:rsidP="004519A4">
            <w:pPr>
              <w:rPr>
                <w:color w:val="000000"/>
              </w:rPr>
            </w:pPr>
          </w:p>
        </w:tc>
        <w:tc>
          <w:tcPr>
            <w:tcW w:w="0" w:type="auto"/>
            <w:gridSpan w:val="2"/>
            <w:vAlign w:val="center"/>
          </w:tcPr>
          <w:p w:rsidR="00685EE7" w:rsidRPr="00685EE7" w:rsidRDefault="00685EE7" w:rsidP="004519A4">
            <w:pPr>
              <w:rPr>
                <w:iCs/>
                <w:color w:val="000000"/>
                <w:sz w:val="24"/>
                <w:szCs w:val="24"/>
              </w:rPr>
            </w:pPr>
            <w:r w:rsidRPr="00685EE7">
              <w:rPr>
                <w:color w:val="000000"/>
              </w:rPr>
              <w:t>PUSCH-Config</w:t>
            </w:r>
          </w:p>
        </w:tc>
        <w:tc>
          <w:tcPr>
            <w:tcW w:w="0" w:type="auto"/>
            <w:vAlign w:val="center"/>
          </w:tcPr>
          <w:p w:rsidR="00685EE7" w:rsidRPr="00BC01AB" w:rsidRDefault="00685EE7" w:rsidP="004519A4">
            <w:pPr>
              <w:jc w:val="center"/>
            </w:pPr>
            <w:r w:rsidRPr="00BC01AB">
              <w:rPr>
                <w:bCs/>
                <w:sz w:val="24"/>
                <w:szCs w:val="24"/>
              </w:rPr>
              <w:t>Fast</w:t>
            </w:r>
          </w:p>
        </w:tc>
      </w:tr>
      <w:tr w:rsidR="00685EE7" w:rsidTr="00685EE7">
        <w:trPr>
          <w:trHeight w:val="42"/>
          <w:jc w:val="center"/>
        </w:trPr>
        <w:tc>
          <w:tcPr>
            <w:tcW w:w="0" w:type="auto"/>
            <w:vMerge/>
          </w:tcPr>
          <w:p w:rsidR="00685EE7" w:rsidRPr="00685EE7" w:rsidRDefault="00685EE7" w:rsidP="004519A4">
            <w:pPr>
              <w:rPr>
                <w:color w:val="000000"/>
              </w:rPr>
            </w:pPr>
          </w:p>
        </w:tc>
        <w:tc>
          <w:tcPr>
            <w:tcW w:w="0" w:type="auto"/>
            <w:gridSpan w:val="2"/>
            <w:vAlign w:val="center"/>
          </w:tcPr>
          <w:p w:rsidR="00685EE7" w:rsidRPr="00685EE7" w:rsidRDefault="00685EE7" w:rsidP="004519A4">
            <w:pPr>
              <w:rPr>
                <w:iCs/>
                <w:color w:val="000000"/>
                <w:sz w:val="24"/>
                <w:szCs w:val="24"/>
              </w:rPr>
            </w:pPr>
            <w:r w:rsidRPr="00685EE7">
              <w:rPr>
                <w:color w:val="000000"/>
              </w:rPr>
              <w:t>PUCCH-Config</w:t>
            </w:r>
          </w:p>
        </w:tc>
        <w:tc>
          <w:tcPr>
            <w:tcW w:w="0" w:type="auto"/>
            <w:vAlign w:val="center"/>
          </w:tcPr>
          <w:p w:rsidR="00685EE7" w:rsidRPr="00BC01AB" w:rsidRDefault="00685EE7" w:rsidP="004519A4">
            <w:pPr>
              <w:jc w:val="center"/>
            </w:pPr>
            <w:r w:rsidRPr="00BC01AB">
              <w:rPr>
                <w:bCs/>
                <w:sz w:val="24"/>
                <w:szCs w:val="24"/>
              </w:rPr>
              <w:t>Fast</w:t>
            </w:r>
          </w:p>
        </w:tc>
      </w:tr>
      <w:tr w:rsidR="00685EE7" w:rsidTr="00685EE7">
        <w:trPr>
          <w:trHeight w:val="42"/>
          <w:jc w:val="center"/>
        </w:trPr>
        <w:tc>
          <w:tcPr>
            <w:tcW w:w="0" w:type="auto"/>
            <w:vMerge/>
          </w:tcPr>
          <w:p w:rsidR="00685EE7" w:rsidRPr="00685EE7" w:rsidRDefault="00685EE7" w:rsidP="004519A4">
            <w:pPr>
              <w:rPr>
                <w:color w:val="000000"/>
              </w:rPr>
            </w:pPr>
          </w:p>
        </w:tc>
        <w:tc>
          <w:tcPr>
            <w:tcW w:w="0" w:type="auto"/>
            <w:gridSpan w:val="2"/>
            <w:vAlign w:val="center"/>
          </w:tcPr>
          <w:p w:rsidR="00685EE7" w:rsidRPr="00685EE7" w:rsidRDefault="00685EE7" w:rsidP="004519A4">
            <w:pPr>
              <w:rPr>
                <w:iCs/>
                <w:color w:val="000000"/>
                <w:sz w:val="24"/>
                <w:szCs w:val="24"/>
              </w:rPr>
            </w:pPr>
            <w:r w:rsidRPr="00685EE7">
              <w:rPr>
                <w:color w:val="000000"/>
              </w:rPr>
              <w:t>configuredGrantConfig</w:t>
            </w:r>
          </w:p>
        </w:tc>
        <w:tc>
          <w:tcPr>
            <w:tcW w:w="0" w:type="auto"/>
            <w:vAlign w:val="center"/>
          </w:tcPr>
          <w:p w:rsidR="00685EE7" w:rsidRPr="00BC01AB" w:rsidRDefault="00685EE7" w:rsidP="004519A4">
            <w:pPr>
              <w:jc w:val="center"/>
            </w:pPr>
            <w:r w:rsidRPr="00BC01AB">
              <w:rPr>
                <w:bCs/>
                <w:sz w:val="24"/>
                <w:szCs w:val="24"/>
              </w:rPr>
              <w:t>Fast</w:t>
            </w:r>
          </w:p>
        </w:tc>
      </w:tr>
      <w:tr w:rsidR="00685EE7" w:rsidTr="00685EE7">
        <w:trPr>
          <w:trHeight w:val="42"/>
          <w:jc w:val="center"/>
        </w:trPr>
        <w:tc>
          <w:tcPr>
            <w:tcW w:w="0" w:type="auto"/>
            <w:vMerge/>
          </w:tcPr>
          <w:p w:rsidR="00685EE7" w:rsidRPr="00685EE7" w:rsidRDefault="00685EE7" w:rsidP="004519A4">
            <w:pPr>
              <w:rPr>
                <w:color w:val="000000"/>
              </w:rPr>
            </w:pPr>
          </w:p>
        </w:tc>
        <w:tc>
          <w:tcPr>
            <w:tcW w:w="0" w:type="auto"/>
            <w:gridSpan w:val="2"/>
            <w:vAlign w:val="center"/>
          </w:tcPr>
          <w:p w:rsidR="00685EE7" w:rsidRPr="00685EE7" w:rsidRDefault="00685EE7" w:rsidP="004519A4">
            <w:pPr>
              <w:rPr>
                <w:iCs/>
                <w:color w:val="000000"/>
                <w:sz w:val="24"/>
                <w:szCs w:val="24"/>
              </w:rPr>
            </w:pPr>
            <w:r w:rsidRPr="00685EE7">
              <w:rPr>
                <w:color w:val="000000"/>
              </w:rPr>
              <w:t>SRS-Config</w:t>
            </w:r>
          </w:p>
        </w:tc>
        <w:tc>
          <w:tcPr>
            <w:tcW w:w="0" w:type="auto"/>
            <w:vAlign w:val="center"/>
          </w:tcPr>
          <w:p w:rsidR="00685EE7" w:rsidRPr="00BC01AB" w:rsidRDefault="00685EE7" w:rsidP="004519A4">
            <w:pPr>
              <w:jc w:val="center"/>
              <w:rPr>
                <w:sz w:val="24"/>
                <w:szCs w:val="24"/>
              </w:rPr>
            </w:pPr>
            <w:r w:rsidRPr="00BC01AB">
              <w:rPr>
                <w:bCs/>
                <w:color w:val="FF0000"/>
                <w:sz w:val="24"/>
                <w:szCs w:val="24"/>
              </w:rPr>
              <w:t>Slow</w:t>
            </w:r>
          </w:p>
        </w:tc>
      </w:tr>
      <w:tr w:rsidR="00685EE7" w:rsidTr="00685EE7">
        <w:trPr>
          <w:trHeight w:val="42"/>
          <w:jc w:val="center"/>
        </w:trPr>
        <w:tc>
          <w:tcPr>
            <w:tcW w:w="0" w:type="auto"/>
            <w:vMerge/>
          </w:tcPr>
          <w:p w:rsidR="00685EE7" w:rsidRPr="00685EE7" w:rsidRDefault="00685EE7" w:rsidP="004519A4">
            <w:pPr>
              <w:rPr>
                <w:color w:val="000000"/>
              </w:rPr>
            </w:pPr>
          </w:p>
        </w:tc>
        <w:tc>
          <w:tcPr>
            <w:tcW w:w="0" w:type="auto"/>
            <w:gridSpan w:val="2"/>
            <w:vAlign w:val="center"/>
          </w:tcPr>
          <w:p w:rsidR="00685EE7" w:rsidRPr="00685EE7" w:rsidRDefault="00685EE7" w:rsidP="004519A4">
            <w:pPr>
              <w:rPr>
                <w:iCs/>
                <w:color w:val="000000"/>
                <w:sz w:val="24"/>
                <w:szCs w:val="24"/>
              </w:rPr>
            </w:pPr>
            <w:r w:rsidRPr="00685EE7">
              <w:rPr>
                <w:color w:val="000000"/>
              </w:rPr>
              <w:t>BeamFailureRecoveryConfig</w:t>
            </w:r>
          </w:p>
        </w:tc>
        <w:tc>
          <w:tcPr>
            <w:tcW w:w="0" w:type="auto"/>
            <w:vAlign w:val="center"/>
          </w:tcPr>
          <w:p w:rsidR="00685EE7" w:rsidRPr="00BC01AB" w:rsidRDefault="00685EE7" w:rsidP="004519A4">
            <w:pPr>
              <w:jc w:val="center"/>
              <w:rPr>
                <w:bCs/>
                <w:sz w:val="24"/>
                <w:szCs w:val="24"/>
              </w:rPr>
            </w:pPr>
            <w:r w:rsidRPr="00BC01AB">
              <w:rPr>
                <w:bCs/>
                <w:sz w:val="24"/>
                <w:szCs w:val="24"/>
              </w:rPr>
              <w:t>Fast</w:t>
            </w:r>
          </w:p>
        </w:tc>
      </w:tr>
    </w:tbl>
    <w:p w:rsidR="00506AD8" w:rsidRDefault="00506AD8" w:rsidP="008A1824">
      <w:pPr>
        <w:jc w:val="both"/>
        <w:rPr>
          <w:lang w:val="en-GB" w:eastAsia="zh-TW"/>
        </w:rPr>
      </w:pPr>
    </w:p>
    <w:p w:rsidR="002C1FEC" w:rsidRDefault="00BC01AB" w:rsidP="002C1FEC">
      <w:pPr>
        <w:jc w:val="both"/>
        <w:rPr>
          <w:lang w:val="en-GB" w:eastAsia="zh-TW"/>
        </w:rPr>
      </w:pPr>
      <w:r>
        <w:rPr>
          <w:lang w:val="en-GB" w:eastAsia="zh-TW"/>
        </w:rPr>
        <w:t xml:space="preserve">Even with about analysis on fast and slow parameters, it would still be preferred to have set the same rule for all baseband parameters. </w:t>
      </w:r>
      <w:r w:rsidRPr="00BC01AB">
        <w:rPr>
          <w:lang w:val="en-GB" w:eastAsia="zh-TW"/>
        </w:rPr>
        <w:t xml:space="preserve">So that it makes network easy to determine the expected delay. </w:t>
      </w:r>
      <w:r>
        <w:rPr>
          <w:lang w:val="en-GB" w:eastAsia="zh-TW"/>
        </w:rPr>
        <w:t xml:space="preserve">In our understanding, </w:t>
      </w:r>
      <w:r w:rsidR="002C1FEC">
        <w:rPr>
          <w:lang w:val="en-GB" w:eastAsia="zh-TW"/>
        </w:rPr>
        <w:t>above analysis does not yet address the case when multiple fast parameters are changing at the same time. It would be safer to re-use the delay for scenario 1 for these baseband parameters.</w:t>
      </w:r>
    </w:p>
    <w:p w:rsidR="008A1824" w:rsidRPr="00D60378" w:rsidRDefault="008A1824" w:rsidP="002C1FEC">
      <w:pPr>
        <w:pStyle w:val="a5"/>
        <w:jc w:val="both"/>
        <w:rPr>
          <w:lang w:val="en-US" w:eastAsia="zh-TW"/>
        </w:rPr>
      </w:pPr>
      <w:bookmarkStart w:id="14" w:name="_Ref513557543"/>
      <w:r>
        <w:t xml:space="preserve">Proposal </w:t>
      </w:r>
      <w:r w:rsidR="00593178">
        <w:fldChar w:fldCharType="begin"/>
      </w:r>
      <w:r w:rsidR="00593178">
        <w:instrText xml:space="preserve"> SEQ Proposal \* ARABIC </w:instrText>
      </w:r>
      <w:r w:rsidR="00593178">
        <w:fldChar w:fldCharType="separate"/>
      </w:r>
      <w:r w:rsidR="002C1FEC">
        <w:rPr>
          <w:noProof/>
        </w:rPr>
        <w:t>2</w:t>
      </w:r>
      <w:r w:rsidR="00593178">
        <w:rPr>
          <w:noProof/>
        </w:rPr>
        <w:fldChar w:fldCharType="end"/>
      </w:r>
      <w:r>
        <w:rPr>
          <w:lang w:val="en-US"/>
        </w:rPr>
        <w:t xml:space="preserve">: </w:t>
      </w:r>
      <w:r w:rsidR="002C1FEC">
        <w:rPr>
          <w:lang w:val="en-US"/>
        </w:rPr>
        <w:t>T</w:t>
      </w:r>
      <w:r>
        <w:rPr>
          <w:lang w:val="en-US"/>
        </w:rPr>
        <w:t xml:space="preserve">he </w:t>
      </w:r>
      <w:r w:rsidR="002C1FEC">
        <w:rPr>
          <w:lang w:val="en-US"/>
        </w:rPr>
        <w:t xml:space="preserve">delay of </w:t>
      </w:r>
      <w:r>
        <w:rPr>
          <w:lang w:val="en-US"/>
        </w:rPr>
        <w:t xml:space="preserve">BWP switching </w:t>
      </w:r>
      <w:r w:rsidR="002C1FEC">
        <w:rPr>
          <w:lang w:val="en-US"/>
        </w:rPr>
        <w:t>involving</w:t>
      </w:r>
      <w:r>
        <w:rPr>
          <w:lang w:val="en-US"/>
        </w:rPr>
        <w:t xml:space="preserve"> only baseband parameter changes</w:t>
      </w:r>
      <w:r w:rsidR="002C1FEC">
        <w:rPr>
          <w:lang w:val="en-US"/>
        </w:rPr>
        <w:t xml:space="preserve"> follows</w:t>
      </w:r>
      <w:r>
        <w:rPr>
          <w:lang w:val="en-US"/>
        </w:rPr>
        <w:t xml:space="preserve"> </w:t>
      </w:r>
      <w:r w:rsidR="002C1FEC">
        <w:rPr>
          <w:lang w:val="en-US"/>
        </w:rPr>
        <w:t xml:space="preserve">the delay of </w:t>
      </w:r>
      <w:r>
        <w:rPr>
          <w:lang w:val="en-US"/>
        </w:rPr>
        <w:t>scenario 1 for both Type A and Type B UE.</w:t>
      </w:r>
      <w:bookmarkEnd w:id="14"/>
    </w:p>
    <w:p w:rsidR="008A1824" w:rsidRPr="008A1824" w:rsidRDefault="008A1824" w:rsidP="00942953">
      <w:pPr>
        <w:jc w:val="both"/>
        <w:rPr>
          <w:lang w:eastAsia="zh-TW"/>
        </w:rPr>
      </w:pPr>
    </w:p>
    <w:p w:rsidR="00085372" w:rsidRDefault="008A1824"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Pr="00BF44DE" w:rsidRDefault="00085372" w:rsidP="00AC359E">
      <w:pPr>
        <w:jc w:val="both"/>
        <w:rPr>
          <w:rFonts w:ascii="Times New Roman" w:eastAsia="SimSun" w:hAnsi="Times New Roman" w:cs="Times New Roman"/>
          <w:b/>
          <w:sz w:val="20"/>
          <w:szCs w:val="20"/>
          <w:lang w:eastAsia="x-none"/>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 requirement of BWP switching delay and the consideration of baseband parameter changes in the BWP configuration. We have the following proposals:</w:t>
      </w:r>
    </w:p>
    <w:p w:rsidR="002C1FEC" w:rsidRDefault="002C1FEC"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lastRenderedPageBreak/>
        <w:fldChar w:fldCharType="begin"/>
      </w:r>
      <w:r>
        <w:rPr>
          <w:rFonts w:ascii="Times New Roman" w:eastAsia="SimSun" w:hAnsi="Times New Roman" w:cs="Times New Roman"/>
          <w:b/>
          <w:sz w:val="20"/>
          <w:szCs w:val="20"/>
          <w:lang w:eastAsia="x-none"/>
        </w:rPr>
        <w:instrText xml:space="preserve"> REF _Ref521436426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692551" w:rsidRPr="00692551">
        <w:rPr>
          <w:rFonts w:ascii="Times New Roman" w:eastAsia="SimSun" w:hAnsi="Times New Roman" w:cs="Times New Roman"/>
          <w:b/>
          <w:sz w:val="20"/>
          <w:szCs w:val="20"/>
          <w:lang w:eastAsia="x-none"/>
        </w:rPr>
        <w:t>Observation 1: The final delay requirement to be captured in TS38.133 needs to consider the additional margin for OFDM symbols that carrying BWP switching command and the alignment to the beginning of the slot boundary for new BWP.</w:t>
      </w:r>
      <w:r>
        <w:rPr>
          <w:rFonts w:ascii="Times New Roman" w:eastAsia="SimSun" w:hAnsi="Times New Roman" w:cs="Times New Roman"/>
          <w:b/>
          <w:sz w:val="20"/>
          <w:szCs w:val="20"/>
          <w:lang w:eastAsia="x-none"/>
        </w:rPr>
        <w:fldChar w:fldCharType="end"/>
      </w:r>
      <w:bookmarkStart w:id="15" w:name="_GoBack"/>
      <w:bookmarkEnd w:id="15"/>
    </w:p>
    <w:p w:rsidR="002C1FEC" w:rsidRDefault="002C1FEC"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_Ref521436430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692551" w:rsidRPr="002D0B61">
        <w:rPr>
          <w:rFonts w:ascii="Times New Roman" w:eastAsia="SimSun" w:hAnsi="Times New Roman" w:cs="Times New Roman"/>
          <w:b/>
          <w:sz w:val="20"/>
          <w:szCs w:val="20"/>
          <w:lang w:eastAsia="x-none"/>
        </w:rPr>
        <w:t xml:space="preserve">Observation 2: Both Type 1 and Type 2 delay need to be modified to accommodate </w:t>
      </w:r>
      <w:r w:rsidR="00692551">
        <w:rPr>
          <w:rFonts w:ascii="Times New Roman" w:eastAsia="SimSun" w:hAnsi="Times New Roman" w:cs="Times New Roman"/>
          <w:b/>
          <w:sz w:val="20"/>
          <w:szCs w:val="20"/>
          <w:lang w:eastAsia="x-none"/>
        </w:rPr>
        <w:t xml:space="preserve">at least </w:t>
      </w:r>
      <w:r w:rsidR="00692551" w:rsidRPr="002D0B61">
        <w:rPr>
          <w:rFonts w:ascii="Times New Roman" w:eastAsia="SimSun" w:hAnsi="Times New Roman" w:cs="Times New Roman"/>
          <w:b/>
          <w:sz w:val="20"/>
          <w:szCs w:val="20"/>
          <w:lang w:eastAsia="x-none"/>
        </w:rPr>
        <w:t>the 2 additional margin.</w:t>
      </w:r>
      <w:r>
        <w:rPr>
          <w:rFonts w:ascii="Times New Roman" w:eastAsia="SimSun" w:hAnsi="Times New Roman" w:cs="Times New Roman"/>
          <w:b/>
          <w:sz w:val="20"/>
          <w:szCs w:val="20"/>
          <w:lang w:eastAsia="x-none"/>
        </w:rPr>
        <w:fldChar w:fldCharType="end"/>
      </w:r>
    </w:p>
    <w:p w:rsidR="002C1FEC" w:rsidRDefault="002C1FEC"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_Ref521436435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692551" w:rsidRPr="00692551">
        <w:rPr>
          <w:rFonts w:ascii="Times New Roman" w:eastAsia="SimSun" w:hAnsi="Times New Roman" w:cs="Times New Roman"/>
          <w:b/>
          <w:sz w:val="20"/>
          <w:szCs w:val="20"/>
          <w:lang w:eastAsia="x-none"/>
        </w:rPr>
        <w:t>Proposal 1: Suggest to capture BWP switching delay in TS38.133 as below table.</w:t>
      </w:r>
      <w:r>
        <w:rPr>
          <w:rFonts w:ascii="Times New Roman" w:eastAsia="SimSun" w:hAnsi="Times New Roman" w:cs="Times New Roman"/>
          <w:b/>
          <w:sz w:val="20"/>
          <w:szCs w:val="20"/>
          <w:lang w:eastAsia="x-none"/>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344"/>
        <w:gridCol w:w="1529"/>
        <w:gridCol w:w="1329"/>
        <w:gridCol w:w="567"/>
        <w:gridCol w:w="1276"/>
        <w:gridCol w:w="1485"/>
        <w:gridCol w:w="1486"/>
      </w:tblGrid>
      <w:tr w:rsidR="00272376" w:rsidRPr="001C4BFB" w:rsidTr="002F4586">
        <w:trPr>
          <w:trHeight w:val="305"/>
          <w:jc w:val="center"/>
        </w:trPr>
        <w:tc>
          <w:tcPr>
            <w:tcW w:w="4815" w:type="dxa"/>
            <w:gridSpan w:val="4"/>
            <w:shd w:val="clear" w:color="auto" w:fill="auto"/>
            <w:vAlign w:val="center"/>
          </w:tcPr>
          <w:p w:rsidR="00272376" w:rsidRPr="00C8046B" w:rsidRDefault="00272376" w:rsidP="002F4586">
            <w:pPr>
              <w:pStyle w:val="TAH"/>
              <w:spacing w:after="0"/>
              <w:rPr>
                <w:lang w:val="en-US" w:eastAsia="zh-CN"/>
              </w:rPr>
            </w:pPr>
            <w:r>
              <w:rPr>
                <w:lang w:val="en-US"/>
              </w:rPr>
              <w:t>BWP switching delay for scenarios 1, 2 and 3</w:t>
            </w:r>
          </w:p>
        </w:tc>
        <w:tc>
          <w:tcPr>
            <w:tcW w:w="4814" w:type="dxa"/>
            <w:gridSpan w:val="4"/>
            <w:vAlign w:val="center"/>
          </w:tcPr>
          <w:p w:rsidR="00272376" w:rsidRDefault="00272376" w:rsidP="002F4586">
            <w:pPr>
              <w:pStyle w:val="TAH"/>
              <w:spacing w:after="0"/>
              <w:rPr>
                <w:lang w:val="en-US"/>
              </w:rPr>
            </w:pPr>
            <w:r>
              <w:rPr>
                <w:lang w:val="en-US"/>
              </w:rPr>
              <w:t>BWP switching delay for scenario 4</w:t>
            </w:r>
          </w:p>
        </w:tc>
      </w:tr>
      <w:tr w:rsidR="00272376" w:rsidRPr="001C4BFB" w:rsidTr="002F4586">
        <w:trPr>
          <w:trHeight w:val="305"/>
          <w:jc w:val="center"/>
        </w:trPr>
        <w:tc>
          <w:tcPr>
            <w:tcW w:w="613" w:type="dxa"/>
            <w:vMerge w:val="restart"/>
            <w:shd w:val="clear" w:color="auto" w:fill="auto"/>
            <w:vAlign w:val="center"/>
          </w:tcPr>
          <w:p w:rsidR="00272376" w:rsidRPr="001C4BFB" w:rsidRDefault="00272376" w:rsidP="002F4586">
            <w:pPr>
              <w:pStyle w:val="TAH"/>
              <w:spacing w:after="0"/>
            </w:pPr>
            <w:r>
              <w:rPr>
                <w:noProof/>
                <w:lang w:val="en-US"/>
              </w:rPr>
              <w:drawing>
                <wp:inline distT="0" distB="0" distL="0" distR="0" wp14:anchorId="754C8F78" wp14:editId="1528DF24">
                  <wp:extent cx="146685" cy="158115"/>
                  <wp:effectExtent l="0" t="0" r="571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685" cy="158115"/>
                          </a:xfrm>
                          <a:prstGeom prst="rect">
                            <a:avLst/>
                          </a:prstGeom>
                          <a:noFill/>
                          <a:ln>
                            <a:noFill/>
                          </a:ln>
                        </pic:spPr>
                      </pic:pic>
                    </a:graphicData>
                  </a:graphic>
                </wp:inline>
              </w:drawing>
            </w:r>
          </w:p>
        </w:tc>
        <w:tc>
          <w:tcPr>
            <w:tcW w:w="1344" w:type="dxa"/>
            <w:vMerge w:val="restart"/>
            <w:vAlign w:val="center"/>
          </w:tcPr>
          <w:p w:rsidR="00272376" w:rsidRPr="001C4BFB" w:rsidRDefault="00272376" w:rsidP="002F4586">
            <w:pPr>
              <w:pStyle w:val="TAH"/>
              <w:spacing w:after="0"/>
            </w:pPr>
            <w:r w:rsidRPr="001C4BFB">
              <w:t>NR Slot length (ms)</w:t>
            </w:r>
          </w:p>
        </w:tc>
        <w:tc>
          <w:tcPr>
            <w:tcW w:w="2858" w:type="dxa"/>
            <w:gridSpan w:val="2"/>
            <w:vAlign w:val="center"/>
          </w:tcPr>
          <w:p w:rsidR="00272376" w:rsidRDefault="00272376" w:rsidP="002F4586">
            <w:pPr>
              <w:pStyle w:val="TAH"/>
              <w:spacing w:after="0"/>
              <w:rPr>
                <w:lang w:eastAsia="zh-CN"/>
              </w:rPr>
            </w:pPr>
            <w:r>
              <w:rPr>
                <w:rFonts w:hint="eastAsia"/>
                <w:lang w:eastAsia="zh-CN"/>
              </w:rPr>
              <w:t xml:space="preserve">BWP switch delay </w:t>
            </w:r>
            <w:r>
              <w:rPr>
                <w:lang w:eastAsia="zh-CN"/>
              </w:rPr>
              <w:t>Y (slots)</w:t>
            </w:r>
          </w:p>
        </w:tc>
        <w:tc>
          <w:tcPr>
            <w:tcW w:w="567" w:type="dxa"/>
            <w:vMerge w:val="restart"/>
            <w:vAlign w:val="center"/>
          </w:tcPr>
          <w:p w:rsidR="00272376" w:rsidRDefault="00272376" w:rsidP="002F4586">
            <w:pPr>
              <w:pStyle w:val="TAH"/>
              <w:spacing w:after="0"/>
              <w:rPr>
                <w:lang w:eastAsia="zh-CN"/>
              </w:rPr>
            </w:pPr>
            <w:r>
              <w:rPr>
                <w:noProof/>
                <w:lang w:val="en-US"/>
              </w:rPr>
              <w:drawing>
                <wp:inline distT="0" distB="0" distL="0" distR="0" wp14:anchorId="5C0514F5" wp14:editId="4A01F3A3">
                  <wp:extent cx="140970" cy="163830"/>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970" cy="163830"/>
                          </a:xfrm>
                          <a:prstGeom prst="rect">
                            <a:avLst/>
                          </a:prstGeom>
                          <a:noFill/>
                          <a:ln>
                            <a:noFill/>
                          </a:ln>
                        </pic:spPr>
                      </pic:pic>
                    </a:graphicData>
                  </a:graphic>
                </wp:inline>
              </w:drawing>
            </w:r>
          </w:p>
        </w:tc>
        <w:tc>
          <w:tcPr>
            <w:tcW w:w="1276" w:type="dxa"/>
            <w:vMerge w:val="restart"/>
            <w:vAlign w:val="center"/>
          </w:tcPr>
          <w:p w:rsidR="00272376" w:rsidRDefault="00272376" w:rsidP="002F4586">
            <w:pPr>
              <w:pStyle w:val="TAH"/>
              <w:spacing w:after="0"/>
              <w:rPr>
                <w:lang w:eastAsia="zh-CN"/>
              </w:rPr>
            </w:pPr>
            <w:r w:rsidRPr="001C4BFB">
              <w:t>NR Slot length (ms)</w:t>
            </w:r>
          </w:p>
        </w:tc>
        <w:tc>
          <w:tcPr>
            <w:tcW w:w="2971" w:type="dxa"/>
            <w:gridSpan w:val="2"/>
            <w:vAlign w:val="center"/>
          </w:tcPr>
          <w:p w:rsidR="00272376" w:rsidRDefault="00272376" w:rsidP="002F4586">
            <w:pPr>
              <w:pStyle w:val="TAH"/>
              <w:spacing w:after="0"/>
              <w:rPr>
                <w:lang w:eastAsia="zh-CN"/>
              </w:rPr>
            </w:pPr>
            <w:r>
              <w:rPr>
                <w:rFonts w:hint="eastAsia"/>
                <w:lang w:eastAsia="zh-CN"/>
              </w:rPr>
              <w:t xml:space="preserve">BWP switch delay </w:t>
            </w:r>
            <w:r>
              <w:rPr>
                <w:lang w:eastAsia="zh-CN"/>
              </w:rPr>
              <w:t>Y (slots)</w:t>
            </w:r>
          </w:p>
        </w:tc>
      </w:tr>
      <w:tr w:rsidR="00272376" w:rsidRPr="001C4BFB" w:rsidTr="002F4586">
        <w:trPr>
          <w:trHeight w:val="306"/>
          <w:jc w:val="center"/>
        </w:trPr>
        <w:tc>
          <w:tcPr>
            <w:tcW w:w="613" w:type="dxa"/>
            <w:vMerge/>
            <w:shd w:val="clear" w:color="auto" w:fill="auto"/>
            <w:vAlign w:val="center"/>
          </w:tcPr>
          <w:p w:rsidR="00272376" w:rsidRPr="001C4BFB" w:rsidRDefault="00272376" w:rsidP="002F4586">
            <w:pPr>
              <w:pStyle w:val="TAH"/>
              <w:spacing w:after="0"/>
            </w:pPr>
          </w:p>
        </w:tc>
        <w:tc>
          <w:tcPr>
            <w:tcW w:w="1344" w:type="dxa"/>
            <w:vMerge/>
            <w:vAlign w:val="center"/>
          </w:tcPr>
          <w:p w:rsidR="00272376" w:rsidRPr="001C4BFB" w:rsidRDefault="00272376" w:rsidP="002F4586">
            <w:pPr>
              <w:pStyle w:val="TAH"/>
              <w:spacing w:after="0"/>
            </w:pPr>
          </w:p>
        </w:tc>
        <w:tc>
          <w:tcPr>
            <w:tcW w:w="1529" w:type="dxa"/>
            <w:vAlign w:val="center"/>
          </w:tcPr>
          <w:p w:rsidR="00272376" w:rsidRPr="0056221D" w:rsidRDefault="00272376" w:rsidP="002F4586">
            <w:pPr>
              <w:pStyle w:val="TAH"/>
              <w:spacing w:after="0"/>
              <w:rPr>
                <w:vertAlign w:val="superscript"/>
                <w:lang w:eastAsia="zh-CN"/>
              </w:rPr>
            </w:pPr>
            <w:r>
              <w:rPr>
                <w:rFonts w:hint="eastAsia"/>
                <w:lang w:eastAsia="zh-CN"/>
              </w:rPr>
              <w:t>Type 1</w:t>
            </w:r>
          </w:p>
        </w:tc>
        <w:tc>
          <w:tcPr>
            <w:tcW w:w="1329" w:type="dxa"/>
            <w:vAlign w:val="center"/>
          </w:tcPr>
          <w:p w:rsidR="00272376" w:rsidRPr="0056221D" w:rsidRDefault="00272376" w:rsidP="002F4586">
            <w:pPr>
              <w:pStyle w:val="TAH"/>
              <w:spacing w:after="0"/>
              <w:rPr>
                <w:vertAlign w:val="superscript"/>
                <w:lang w:eastAsia="zh-CN"/>
              </w:rPr>
            </w:pPr>
            <w:r>
              <w:rPr>
                <w:rFonts w:hint="eastAsia"/>
                <w:lang w:eastAsia="zh-CN"/>
              </w:rPr>
              <w:t>Type 2</w:t>
            </w:r>
          </w:p>
        </w:tc>
        <w:tc>
          <w:tcPr>
            <w:tcW w:w="567" w:type="dxa"/>
            <w:vMerge/>
            <w:vAlign w:val="center"/>
          </w:tcPr>
          <w:p w:rsidR="00272376" w:rsidRDefault="00272376" w:rsidP="002F4586">
            <w:pPr>
              <w:pStyle w:val="TAH"/>
              <w:spacing w:after="0"/>
              <w:rPr>
                <w:lang w:eastAsia="zh-CN"/>
              </w:rPr>
            </w:pPr>
          </w:p>
        </w:tc>
        <w:tc>
          <w:tcPr>
            <w:tcW w:w="1276" w:type="dxa"/>
            <w:vMerge/>
            <w:vAlign w:val="center"/>
          </w:tcPr>
          <w:p w:rsidR="00272376" w:rsidRDefault="00272376" w:rsidP="002F4586">
            <w:pPr>
              <w:pStyle w:val="TAH"/>
              <w:spacing w:after="0"/>
              <w:rPr>
                <w:lang w:eastAsia="zh-CN"/>
              </w:rPr>
            </w:pPr>
          </w:p>
        </w:tc>
        <w:tc>
          <w:tcPr>
            <w:tcW w:w="1485" w:type="dxa"/>
            <w:vAlign w:val="center"/>
          </w:tcPr>
          <w:p w:rsidR="00272376" w:rsidRPr="0056221D" w:rsidRDefault="00272376" w:rsidP="002F4586">
            <w:pPr>
              <w:pStyle w:val="TAH"/>
              <w:spacing w:after="0"/>
              <w:rPr>
                <w:vertAlign w:val="superscript"/>
                <w:lang w:eastAsia="zh-CN"/>
              </w:rPr>
            </w:pPr>
            <w:r>
              <w:rPr>
                <w:rFonts w:hint="eastAsia"/>
                <w:lang w:eastAsia="zh-CN"/>
              </w:rPr>
              <w:t>Type 1</w:t>
            </w:r>
          </w:p>
        </w:tc>
        <w:tc>
          <w:tcPr>
            <w:tcW w:w="1486" w:type="dxa"/>
            <w:vAlign w:val="center"/>
          </w:tcPr>
          <w:p w:rsidR="00272376" w:rsidRPr="0056221D" w:rsidRDefault="00272376" w:rsidP="002F4586">
            <w:pPr>
              <w:pStyle w:val="TAH"/>
              <w:spacing w:after="0"/>
              <w:rPr>
                <w:vertAlign w:val="superscript"/>
                <w:lang w:eastAsia="zh-CN"/>
              </w:rPr>
            </w:pPr>
            <w:r>
              <w:rPr>
                <w:rFonts w:hint="eastAsia"/>
                <w:lang w:eastAsia="zh-CN"/>
              </w:rPr>
              <w:t>Type 2</w:t>
            </w:r>
          </w:p>
        </w:tc>
      </w:tr>
      <w:tr w:rsidR="00272376" w:rsidRPr="001C4BFB" w:rsidDel="00FC0501" w:rsidTr="002F4586">
        <w:trPr>
          <w:jc w:val="center"/>
        </w:trPr>
        <w:tc>
          <w:tcPr>
            <w:tcW w:w="613" w:type="dxa"/>
            <w:shd w:val="clear" w:color="auto" w:fill="auto"/>
            <w:vAlign w:val="center"/>
          </w:tcPr>
          <w:p w:rsidR="00272376" w:rsidRPr="001C4BFB" w:rsidRDefault="00272376" w:rsidP="002F4586">
            <w:pPr>
              <w:pStyle w:val="TAC"/>
            </w:pPr>
            <w:r w:rsidRPr="001C4BFB">
              <w:t>0</w:t>
            </w:r>
          </w:p>
        </w:tc>
        <w:tc>
          <w:tcPr>
            <w:tcW w:w="1344" w:type="dxa"/>
            <w:vAlign w:val="center"/>
          </w:tcPr>
          <w:p w:rsidR="00272376" w:rsidRPr="001C4BFB" w:rsidRDefault="00272376" w:rsidP="002F4586">
            <w:pPr>
              <w:pStyle w:val="TAC"/>
            </w:pPr>
            <w:r w:rsidRPr="001C4BFB">
              <w:t>1</w:t>
            </w:r>
          </w:p>
        </w:tc>
        <w:tc>
          <w:tcPr>
            <w:tcW w:w="1529" w:type="dxa"/>
            <w:shd w:val="clear" w:color="auto" w:fill="auto"/>
            <w:vAlign w:val="center"/>
          </w:tcPr>
          <w:p w:rsidR="00272376" w:rsidRPr="00FB1969" w:rsidRDefault="00272376" w:rsidP="002F4586">
            <w:pPr>
              <w:pStyle w:val="TAC"/>
            </w:pPr>
            <w:r>
              <w:t>3</w:t>
            </w:r>
          </w:p>
        </w:tc>
        <w:tc>
          <w:tcPr>
            <w:tcW w:w="1329" w:type="dxa"/>
            <w:vAlign w:val="center"/>
          </w:tcPr>
          <w:p w:rsidR="00272376" w:rsidRPr="00FB1969" w:rsidRDefault="00272376" w:rsidP="002F4586">
            <w:pPr>
              <w:pStyle w:val="TAC"/>
            </w:pPr>
            <w:r>
              <w:t>2</w:t>
            </w:r>
          </w:p>
        </w:tc>
        <w:tc>
          <w:tcPr>
            <w:tcW w:w="567" w:type="dxa"/>
            <w:vAlign w:val="center"/>
          </w:tcPr>
          <w:p w:rsidR="00272376" w:rsidRPr="001C4BFB" w:rsidRDefault="00272376" w:rsidP="002F4586">
            <w:pPr>
              <w:pStyle w:val="TAC"/>
            </w:pPr>
            <w:r w:rsidRPr="001C4BFB">
              <w:t>0</w:t>
            </w:r>
          </w:p>
        </w:tc>
        <w:tc>
          <w:tcPr>
            <w:tcW w:w="1276" w:type="dxa"/>
            <w:vAlign w:val="center"/>
          </w:tcPr>
          <w:p w:rsidR="00272376" w:rsidRPr="001C4BFB" w:rsidRDefault="00272376" w:rsidP="002F4586">
            <w:pPr>
              <w:pStyle w:val="TAC"/>
            </w:pPr>
            <w:r w:rsidRPr="001C4BFB">
              <w:t>1</w:t>
            </w:r>
          </w:p>
        </w:tc>
        <w:tc>
          <w:tcPr>
            <w:tcW w:w="1485" w:type="dxa"/>
            <w:vAlign w:val="center"/>
          </w:tcPr>
          <w:p w:rsidR="00272376" w:rsidRPr="00FB1969" w:rsidRDefault="00272376" w:rsidP="002F4586">
            <w:pPr>
              <w:pStyle w:val="TAC"/>
            </w:pPr>
            <w:r>
              <w:t>2</w:t>
            </w:r>
          </w:p>
        </w:tc>
        <w:tc>
          <w:tcPr>
            <w:tcW w:w="1486" w:type="dxa"/>
            <w:vAlign w:val="center"/>
          </w:tcPr>
          <w:p w:rsidR="00272376" w:rsidRPr="00FB1969" w:rsidRDefault="00272376" w:rsidP="002F4586">
            <w:pPr>
              <w:pStyle w:val="TAC"/>
            </w:pPr>
            <w:r>
              <w:t>2</w:t>
            </w:r>
          </w:p>
        </w:tc>
      </w:tr>
      <w:tr w:rsidR="00272376" w:rsidRPr="001C4BFB" w:rsidDel="00FC0501" w:rsidTr="002F4586">
        <w:trPr>
          <w:jc w:val="center"/>
        </w:trPr>
        <w:tc>
          <w:tcPr>
            <w:tcW w:w="613" w:type="dxa"/>
            <w:shd w:val="clear" w:color="auto" w:fill="auto"/>
            <w:vAlign w:val="center"/>
          </w:tcPr>
          <w:p w:rsidR="00272376" w:rsidRPr="001C4BFB" w:rsidRDefault="00272376" w:rsidP="002F4586">
            <w:pPr>
              <w:pStyle w:val="TAC"/>
            </w:pPr>
            <w:r w:rsidRPr="001C4BFB">
              <w:t>1</w:t>
            </w:r>
          </w:p>
        </w:tc>
        <w:tc>
          <w:tcPr>
            <w:tcW w:w="1344" w:type="dxa"/>
            <w:vAlign w:val="center"/>
          </w:tcPr>
          <w:p w:rsidR="00272376" w:rsidRPr="001C4BFB" w:rsidRDefault="00272376" w:rsidP="002F4586">
            <w:pPr>
              <w:pStyle w:val="TAC"/>
            </w:pPr>
            <w:r w:rsidRPr="001C4BFB">
              <w:t>0.5</w:t>
            </w:r>
          </w:p>
        </w:tc>
        <w:tc>
          <w:tcPr>
            <w:tcW w:w="1529" w:type="dxa"/>
            <w:shd w:val="clear" w:color="auto" w:fill="auto"/>
            <w:vAlign w:val="center"/>
          </w:tcPr>
          <w:p w:rsidR="00272376" w:rsidRPr="00FB1969" w:rsidRDefault="00272376" w:rsidP="002F4586">
            <w:pPr>
              <w:pStyle w:val="TAC"/>
            </w:pPr>
            <w:r>
              <w:t>6</w:t>
            </w:r>
          </w:p>
        </w:tc>
        <w:tc>
          <w:tcPr>
            <w:tcW w:w="1329" w:type="dxa"/>
            <w:vAlign w:val="center"/>
          </w:tcPr>
          <w:p w:rsidR="00272376" w:rsidRPr="00FB1969" w:rsidRDefault="00272376" w:rsidP="002F4586">
            <w:pPr>
              <w:pStyle w:val="TAC"/>
            </w:pPr>
            <w:r>
              <w:t>4</w:t>
            </w:r>
          </w:p>
        </w:tc>
        <w:tc>
          <w:tcPr>
            <w:tcW w:w="567" w:type="dxa"/>
            <w:vAlign w:val="center"/>
          </w:tcPr>
          <w:p w:rsidR="00272376" w:rsidRPr="001C4BFB" w:rsidRDefault="00272376" w:rsidP="002F4586">
            <w:pPr>
              <w:pStyle w:val="TAC"/>
            </w:pPr>
            <w:r w:rsidRPr="001C4BFB">
              <w:t>1</w:t>
            </w:r>
          </w:p>
        </w:tc>
        <w:tc>
          <w:tcPr>
            <w:tcW w:w="1276" w:type="dxa"/>
            <w:vAlign w:val="center"/>
          </w:tcPr>
          <w:p w:rsidR="00272376" w:rsidRPr="001C4BFB" w:rsidRDefault="00272376" w:rsidP="002F4586">
            <w:pPr>
              <w:pStyle w:val="TAC"/>
            </w:pPr>
            <w:r w:rsidRPr="001C4BFB">
              <w:t>0.5</w:t>
            </w:r>
          </w:p>
        </w:tc>
        <w:tc>
          <w:tcPr>
            <w:tcW w:w="1485" w:type="dxa"/>
            <w:vAlign w:val="center"/>
          </w:tcPr>
          <w:p w:rsidR="00272376" w:rsidRPr="00FB1969" w:rsidRDefault="00272376" w:rsidP="002F4586">
            <w:pPr>
              <w:pStyle w:val="TAC"/>
            </w:pPr>
            <w:r>
              <w:t>4</w:t>
            </w:r>
          </w:p>
        </w:tc>
        <w:tc>
          <w:tcPr>
            <w:tcW w:w="1486" w:type="dxa"/>
            <w:vAlign w:val="center"/>
          </w:tcPr>
          <w:p w:rsidR="00272376" w:rsidRPr="00FB1969" w:rsidRDefault="00272376" w:rsidP="002F4586">
            <w:pPr>
              <w:pStyle w:val="TAC"/>
            </w:pPr>
            <w:r>
              <w:t>3</w:t>
            </w:r>
          </w:p>
        </w:tc>
      </w:tr>
      <w:tr w:rsidR="00272376" w:rsidRPr="001C4BFB" w:rsidDel="00FC0501" w:rsidTr="002F4586">
        <w:trPr>
          <w:jc w:val="center"/>
        </w:trPr>
        <w:tc>
          <w:tcPr>
            <w:tcW w:w="613" w:type="dxa"/>
            <w:shd w:val="clear" w:color="auto" w:fill="auto"/>
            <w:vAlign w:val="center"/>
          </w:tcPr>
          <w:p w:rsidR="00272376" w:rsidRPr="001C4BFB" w:rsidRDefault="00272376" w:rsidP="002F4586">
            <w:pPr>
              <w:pStyle w:val="TAC"/>
            </w:pPr>
            <w:r w:rsidRPr="001C4BFB">
              <w:t>2</w:t>
            </w:r>
          </w:p>
        </w:tc>
        <w:tc>
          <w:tcPr>
            <w:tcW w:w="1344" w:type="dxa"/>
            <w:vAlign w:val="center"/>
          </w:tcPr>
          <w:p w:rsidR="00272376" w:rsidRPr="001C4BFB" w:rsidRDefault="00272376" w:rsidP="002F4586">
            <w:pPr>
              <w:pStyle w:val="TAC"/>
            </w:pPr>
            <w:r w:rsidRPr="001C4BFB">
              <w:t>0.25</w:t>
            </w:r>
          </w:p>
        </w:tc>
        <w:tc>
          <w:tcPr>
            <w:tcW w:w="1529" w:type="dxa"/>
            <w:shd w:val="clear" w:color="auto" w:fill="auto"/>
            <w:vAlign w:val="center"/>
          </w:tcPr>
          <w:p w:rsidR="00272376" w:rsidRPr="00FB1969" w:rsidRDefault="00272376" w:rsidP="002F4586">
            <w:pPr>
              <w:pStyle w:val="TAC"/>
            </w:pPr>
            <w:r>
              <w:t>12</w:t>
            </w:r>
          </w:p>
        </w:tc>
        <w:tc>
          <w:tcPr>
            <w:tcW w:w="1329" w:type="dxa"/>
            <w:vAlign w:val="center"/>
          </w:tcPr>
          <w:p w:rsidR="00272376" w:rsidRPr="00FB1969" w:rsidRDefault="00272376" w:rsidP="002F4586">
            <w:pPr>
              <w:pStyle w:val="TAC"/>
            </w:pPr>
            <w:r>
              <w:t>8</w:t>
            </w:r>
          </w:p>
        </w:tc>
        <w:tc>
          <w:tcPr>
            <w:tcW w:w="567" w:type="dxa"/>
            <w:vAlign w:val="center"/>
          </w:tcPr>
          <w:p w:rsidR="00272376" w:rsidRPr="001C4BFB" w:rsidRDefault="00272376" w:rsidP="002F4586">
            <w:pPr>
              <w:pStyle w:val="TAC"/>
            </w:pPr>
            <w:r w:rsidRPr="001C4BFB">
              <w:t>2</w:t>
            </w:r>
          </w:p>
        </w:tc>
        <w:tc>
          <w:tcPr>
            <w:tcW w:w="1276" w:type="dxa"/>
            <w:vAlign w:val="center"/>
          </w:tcPr>
          <w:p w:rsidR="00272376" w:rsidRPr="001C4BFB" w:rsidRDefault="00272376" w:rsidP="002F4586">
            <w:pPr>
              <w:pStyle w:val="TAC"/>
            </w:pPr>
            <w:r w:rsidRPr="001C4BFB">
              <w:t>0.25</w:t>
            </w:r>
          </w:p>
        </w:tc>
        <w:tc>
          <w:tcPr>
            <w:tcW w:w="1485" w:type="dxa"/>
            <w:vAlign w:val="center"/>
          </w:tcPr>
          <w:p w:rsidR="00272376" w:rsidRPr="00FB1969" w:rsidRDefault="00272376" w:rsidP="002F4586">
            <w:pPr>
              <w:pStyle w:val="TAC"/>
            </w:pPr>
            <w:r>
              <w:t>8</w:t>
            </w:r>
          </w:p>
        </w:tc>
        <w:tc>
          <w:tcPr>
            <w:tcW w:w="1486" w:type="dxa"/>
            <w:vAlign w:val="center"/>
          </w:tcPr>
          <w:p w:rsidR="00272376" w:rsidRPr="00FB1969" w:rsidRDefault="00272376" w:rsidP="002F4586">
            <w:pPr>
              <w:pStyle w:val="TAC"/>
            </w:pPr>
            <w:r>
              <w:t>6</w:t>
            </w:r>
          </w:p>
        </w:tc>
      </w:tr>
      <w:tr w:rsidR="00272376" w:rsidRPr="001C4BFB" w:rsidDel="00FC0501" w:rsidTr="002F4586">
        <w:trPr>
          <w:jc w:val="center"/>
        </w:trPr>
        <w:tc>
          <w:tcPr>
            <w:tcW w:w="613" w:type="dxa"/>
            <w:shd w:val="clear" w:color="auto" w:fill="auto"/>
            <w:vAlign w:val="center"/>
          </w:tcPr>
          <w:p w:rsidR="00272376" w:rsidRPr="001C4BFB" w:rsidRDefault="00272376" w:rsidP="002F4586">
            <w:pPr>
              <w:pStyle w:val="TAC"/>
            </w:pPr>
            <w:r w:rsidRPr="001C4BFB">
              <w:t>3</w:t>
            </w:r>
          </w:p>
        </w:tc>
        <w:tc>
          <w:tcPr>
            <w:tcW w:w="1344" w:type="dxa"/>
            <w:vAlign w:val="center"/>
          </w:tcPr>
          <w:p w:rsidR="00272376" w:rsidRPr="001C4BFB" w:rsidRDefault="00272376" w:rsidP="002F4586">
            <w:pPr>
              <w:pStyle w:val="TAC"/>
            </w:pPr>
            <w:r w:rsidRPr="001C4BFB">
              <w:t>0.125</w:t>
            </w:r>
          </w:p>
        </w:tc>
        <w:tc>
          <w:tcPr>
            <w:tcW w:w="1529" w:type="dxa"/>
            <w:shd w:val="clear" w:color="auto" w:fill="auto"/>
            <w:vAlign w:val="center"/>
          </w:tcPr>
          <w:p w:rsidR="00272376" w:rsidRPr="00FB1969" w:rsidRDefault="00272376" w:rsidP="002F4586">
            <w:pPr>
              <w:pStyle w:val="TAC"/>
            </w:pPr>
            <w:r>
              <w:t>24</w:t>
            </w:r>
          </w:p>
        </w:tc>
        <w:tc>
          <w:tcPr>
            <w:tcW w:w="1329" w:type="dxa"/>
            <w:vAlign w:val="center"/>
          </w:tcPr>
          <w:p w:rsidR="00272376" w:rsidRPr="00FB1969" w:rsidRDefault="00272376" w:rsidP="002F4586">
            <w:pPr>
              <w:pStyle w:val="TAC"/>
            </w:pPr>
            <w:r>
              <w:t>16</w:t>
            </w:r>
          </w:p>
        </w:tc>
        <w:tc>
          <w:tcPr>
            <w:tcW w:w="567" w:type="dxa"/>
            <w:vAlign w:val="center"/>
          </w:tcPr>
          <w:p w:rsidR="00272376" w:rsidRPr="001C4BFB" w:rsidRDefault="00272376" w:rsidP="002F4586">
            <w:pPr>
              <w:pStyle w:val="TAC"/>
            </w:pPr>
            <w:r w:rsidRPr="001C4BFB">
              <w:t>3</w:t>
            </w:r>
          </w:p>
        </w:tc>
        <w:tc>
          <w:tcPr>
            <w:tcW w:w="1276" w:type="dxa"/>
            <w:vAlign w:val="center"/>
          </w:tcPr>
          <w:p w:rsidR="00272376" w:rsidRPr="001C4BFB" w:rsidRDefault="00272376" w:rsidP="002F4586">
            <w:pPr>
              <w:pStyle w:val="TAC"/>
            </w:pPr>
            <w:r w:rsidRPr="001C4BFB">
              <w:t>0.125</w:t>
            </w:r>
          </w:p>
        </w:tc>
        <w:tc>
          <w:tcPr>
            <w:tcW w:w="1485" w:type="dxa"/>
            <w:vAlign w:val="center"/>
          </w:tcPr>
          <w:p w:rsidR="00272376" w:rsidRPr="00FB1969" w:rsidRDefault="00272376" w:rsidP="002F4586">
            <w:pPr>
              <w:pStyle w:val="TAC"/>
            </w:pPr>
            <w:r>
              <w:t>16</w:t>
            </w:r>
          </w:p>
        </w:tc>
        <w:tc>
          <w:tcPr>
            <w:tcW w:w="1486" w:type="dxa"/>
            <w:vAlign w:val="center"/>
          </w:tcPr>
          <w:p w:rsidR="00272376" w:rsidRPr="00FB1969" w:rsidRDefault="00272376" w:rsidP="002F4586">
            <w:pPr>
              <w:pStyle w:val="TAC"/>
            </w:pPr>
            <w:r>
              <w:t>12</w:t>
            </w:r>
          </w:p>
        </w:tc>
      </w:tr>
    </w:tbl>
    <w:p w:rsidR="00272376" w:rsidRDefault="00272376" w:rsidP="00CB5FB6">
      <w:pPr>
        <w:jc w:val="both"/>
        <w:rPr>
          <w:rFonts w:ascii="Times New Roman" w:eastAsia="SimSun" w:hAnsi="Times New Roman" w:cs="Times New Roman"/>
          <w:b/>
          <w:sz w:val="20"/>
          <w:szCs w:val="20"/>
          <w:lang w:eastAsia="x-none"/>
        </w:rPr>
      </w:pPr>
    </w:p>
    <w:p w:rsidR="00EB391A" w:rsidRPr="00BF44DE" w:rsidRDefault="002C1FEC"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_Ref513557543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692551" w:rsidRPr="00692551">
        <w:rPr>
          <w:rFonts w:ascii="Times New Roman" w:eastAsia="SimSun" w:hAnsi="Times New Roman" w:cs="Times New Roman"/>
          <w:b/>
          <w:sz w:val="20"/>
          <w:szCs w:val="20"/>
          <w:lang w:eastAsia="x-none"/>
        </w:rPr>
        <w:t>Proposal 2: The delay of BWP switching involving only baseband parameter changes follows the delay of scenario 1 for both Type A and Type B UE.</w:t>
      </w:r>
      <w:r>
        <w:rPr>
          <w:rFonts w:ascii="Times New Roman" w:eastAsia="SimSun" w:hAnsi="Times New Roman" w:cs="Times New Roman"/>
          <w:b/>
          <w:sz w:val="20"/>
          <w:szCs w:val="20"/>
          <w:lang w:eastAsia="x-none"/>
        </w:rPr>
        <w:fldChar w:fldCharType="end"/>
      </w:r>
    </w:p>
    <w:p w:rsidR="00AF7AA6" w:rsidRDefault="00A2336F"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132E46" w:rsidRPr="0001476F" w:rsidRDefault="007807F4" w:rsidP="00132E4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002C5D22" w:rsidRPr="002C5D22">
        <w:rPr>
          <w:rFonts w:ascii="Calibri" w:eastAsia="新細明體" w:hAnsi="Calibri" w:cs="Calibri"/>
          <w:color w:val="0D0D0D"/>
          <w:sz w:val="20"/>
          <w:lang w:eastAsia="zh-TW"/>
        </w:rPr>
        <w:t>R4-1809536</w:t>
      </w:r>
      <w:r>
        <w:rPr>
          <w:rFonts w:ascii="Calibri" w:eastAsia="新細明體" w:hAnsi="Calibri" w:cs="Calibri"/>
          <w:color w:val="0D0D0D"/>
          <w:sz w:val="20"/>
          <w:lang w:eastAsia="zh-TW"/>
        </w:rPr>
        <w:t>, “</w:t>
      </w:r>
      <w:r w:rsidR="002C5D22" w:rsidRPr="002C5D22">
        <w:rPr>
          <w:rFonts w:ascii="Calibri" w:eastAsia="新細明體" w:hAnsi="Calibri" w:cs="Calibri"/>
          <w:color w:val="0D0D0D"/>
          <w:sz w:val="20"/>
          <w:lang w:eastAsia="zh-TW"/>
        </w:rPr>
        <w:t>Way forward on BWP Switching</w:t>
      </w:r>
      <w:r>
        <w:rPr>
          <w:rFonts w:ascii="Calibri" w:eastAsia="新細明體" w:hAnsi="Calibri" w:cs="Calibri"/>
          <w:color w:val="0D0D0D"/>
          <w:sz w:val="20"/>
          <w:lang w:eastAsia="zh-TW"/>
        </w:rPr>
        <w:t xml:space="preserve">”, </w:t>
      </w:r>
      <w:r w:rsidR="002C5D22" w:rsidRPr="002C5D22">
        <w:rPr>
          <w:rFonts w:ascii="Calibri" w:eastAsia="新細明體" w:hAnsi="Calibri" w:cs="Calibri"/>
          <w:color w:val="0D0D0D"/>
          <w:sz w:val="20"/>
          <w:lang w:eastAsia="zh-TW"/>
        </w:rPr>
        <w:t>Intel, MediaTek, Nokia, Nokia Shanghai Bell, Samsung</w:t>
      </w:r>
    </w:p>
    <w:p w:rsidR="0001476F" w:rsidRDefault="0001476F" w:rsidP="0001476F">
      <w:pPr>
        <w:rPr>
          <w:rFonts w:ascii="Calibri" w:eastAsia="新細明體" w:hAnsi="Calibri" w:cs="Calibri"/>
          <w:color w:val="0D0D0D"/>
          <w:sz w:val="20"/>
          <w:lang w:eastAsia="zh-TW"/>
        </w:rPr>
      </w:pPr>
      <w:r w:rsidRPr="0001476F">
        <w:rPr>
          <w:rFonts w:ascii="Calibri" w:eastAsia="新細明體" w:hAnsi="Calibri" w:cs="Calibri"/>
          <w:color w:val="0D0D0D"/>
          <w:sz w:val="20"/>
          <w:lang w:eastAsia="zh-TW"/>
        </w:rPr>
        <w:t xml:space="preserve">[2] </w:t>
      </w:r>
      <w:r w:rsidR="00157268" w:rsidRPr="00BF5D78">
        <w:rPr>
          <w:rFonts w:ascii="Calibri" w:eastAsia="新細明體" w:hAnsi="Calibri" w:cs="Calibri"/>
          <w:color w:val="0D0D0D"/>
          <w:sz w:val="20"/>
          <w:lang w:eastAsia="zh-TW"/>
        </w:rPr>
        <w:t>R4-1809355</w:t>
      </w:r>
      <w:r w:rsidR="00157268">
        <w:rPr>
          <w:rFonts w:ascii="Calibri" w:eastAsia="新細明體" w:hAnsi="Calibri" w:cs="Calibri"/>
          <w:color w:val="0D0D0D"/>
          <w:sz w:val="20"/>
          <w:lang w:eastAsia="zh-TW"/>
        </w:rPr>
        <w:t>, “</w:t>
      </w:r>
      <w:r w:rsidR="00157268" w:rsidRPr="00BF5D78">
        <w:rPr>
          <w:rFonts w:ascii="Calibri" w:eastAsia="新細明體" w:hAnsi="Calibri" w:cs="Calibri"/>
          <w:color w:val="0D0D0D"/>
          <w:sz w:val="20"/>
          <w:lang w:eastAsia="zh-TW"/>
        </w:rPr>
        <w:t>AH for NR signal characteristics</w:t>
      </w:r>
      <w:r w:rsidR="00157268">
        <w:rPr>
          <w:rFonts w:ascii="Calibri" w:eastAsia="新細明體" w:hAnsi="Calibri" w:cs="Calibri"/>
          <w:color w:val="0D0D0D"/>
          <w:sz w:val="20"/>
          <w:lang w:eastAsia="zh-TW"/>
        </w:rPr>
        <w:t xml:space="preserve">”, </w:t>
      </w:r>
      <w:r w:rsidR="00157268" w:rsidRPr="00BF5D78">
        <w:rPr>
          <w:rFonts w:ascii="Calibri" w:eastAsia="新細明體" w:hAnsi="Calibri" w:cs="Calibri"/>
          <w:color w:val="0D0D0D"/>
          <w:sz w:val="20"/>
          <w:lang w:eastAsia="zh-TW"/>
        </w:rPr>
        <w:t>Huawei, HiSilicon</w:t>
      </w:r>
    </w:p>
    <w:p w:rsidR="00BF5D78" w:rsidRDefault="00BF5D78" w:rsidP="0001476F">
      <w:pPr>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[3] </w:t>
      </w:r>
      <w:r w:rsidR="00157268" w:rsidRPr="00C26F37">
        <w:rPr>
          <w:rFonts w:ascii="Calibri" w:eastAsia="新細明體" w:hAnsi="Calibri" w:cs="Calibri"/>
          <w:color w:val="0D0D0D"/>
          <w:sz w:val="20"/>
          <w:lang w:eastAsia="zh-TW"/>
        </w:rPr>
        <w:t>R4-1809380</w:t>
      </w:r>
      <w:r w:rsidR="00157268">
        <w:rPr>
          <w:rFonts w:ascii="Calibri" w:eastAsia="新細明體" w:hAnsi="Calibri" w:cs="Calibri"/>
          <w:color w:val="0D0D0D"/>
          <w:sz w:val="20"/>
          <w:lang w:eastAsia="zh-TW"/>
        </w:rPr>
        <w:t>,</w:t>
      </w:r>
      <w:r w:rsidR="00157268" w:rsidRPr="00C26F37">
        <w:rPr>
          <w:rFonts w:ascii="Calibri" w:eastAsia="新細明體" w:hAnsi="Calibri" w:cs="Calibri"/>
          <w:color w:val="0D0D0D"/>
          <w:sz w:val="20"/>
          <w:lang w:eastAsia="zh-TW"/>
        </w:rPr>
        <w:t xml:space="preserve"> </w:t>
      </w:r>
      <w:r w:rsidR="00157268" w:rsidRPr="0001476F">
        <w:rPr>
          <w:rFonts w:ascii="Calibri" w:eastAsia="新細明體" w:hAnsi="Calibri" w:cs="Calibri"/>
          <w:color w:val="0D0D0D"/>
          <w:sz w:val="20"/>
          <w:lang w:eastAsia="zh-TW"/>
        </w:rPr>
        <w:t>“</w:t>
      </w:r>
      <w:r w:rsidR="00157268">
        <w:rPr>
          <w:noProof/>
        </w:rPr>
        <w:t>CR on introduction of requirement for BWP switching delay in TS38.133</w:t>
      </w:r>
      <w:r w:rsidR="00157268" w:rsidRPr="0001476F">
        <w:rPr>
          <w:rFonts w:ascii="Calibri" w:eastAsia="新細明體" w:hAnsi="Calibri" w:cs="Calibri"/>
          <w:color w:val="0D0D0D"/>
          <w:sz w:val="20"/>
          <w:lang w:eastAsia="zh-TW"/>
        </w:rPr>
        <w:t xml:space="preserve">”, </w:t>
      </w:r>
      <w:r w:rsidR="00157268" w:rsidRPr="002C5D22">
        <w:rPr>
          <w:rFonts w:ascii="Calibri" w:eastAsia="新細明體" w:hAnsi="Calibri" w:cs="Calibri"/>
          <w:color w:val="0D0D0D"/>
          <w:sz w:val="20"/>
          <w:lang w:eastAsia="zh-TW"/>
        </w:rPr>
        <w:t>MediaTek</w:t>
      </w:r>
      <w:r w:rsidR="00157268">
        <w:rPr>
          <w:rFonts w:ascii="Calibri" w:eastAsia="新細明體" w:hAnsi="Calibri" w:cs="Calibri"/>
          <w:color w:val="0D0D0D"/>
          <w:sz w:val="20"/>
          <w:lang w:eastAsia="zh-TW"/>
        </w:rPr>
        <w:t xml:space="preserve"> inc.</w:t>
      </w:r>
    </w:p>
    <w:p w:rsidR="00DF1139" w:rsidRPr="0001476F" w:rsidRDefault="00DF1139" w:rsidP="00DF1139">
      <w:pPr>
        <w:rPr>
          <w:rFonts w:ascii="Calibri" w:eastAsia="新細明體" w:hAnsi="Calibri" w:cs="Calibri"/>
          <w:color w:val="0D0D0D"/>
          <w:sz w:val="20"/>
          <w:lang w:eastAsia="zh-TW"/>
        </w:rPr>
      </w:pPr>
      <w:r w:rsidRPr="0001476F">
        <w:rPr>
          <w:rFonts w:ascii="Calibri" w:eastAsia="新細明體" w:hAnsi="Calibri" w:cs="Calibri"/>
          <w:color w:val="0D0D0D"/>
          <w:sz w:val="20"/>
          <w:lang w:eastAsia="zh-TW"/>
        </w:rPr>
        <w:t>[</w:t>
      </w:r>
      <w:r>
        <w:rPr>
          <w:rFonts w:ascii="Calibri" w:eastAsia="新細明體" w:hAnsi="Calibri" w:cs="Calibri"/>
          <w:color w:val="0D0D0D"/>
          <w:sz w:val="20"/>
          <w:lang w:eastAsia="zh-TW"/>
        </w:rPr>
        <w:t>4</w:t>
      </w:r>
      <w:r w:rsidRPr="0001476F">
        <w:rPr>
          <w:rFonts w:ascii="Calibri" w:eastAsia="新細明體" w:hAnsi="Calibri" w:cs="Calibri"/>
          <w:color w:val="0D0D0D"/>
          <w:sz w:val="20"/>
          <w:lang w:eastAsia="zh-TW"/>
        </w:rPr>
        <w:t>] R4-1803283,</w:t>
      </w:r>
      <w:r>
        <w:rPr>
          <w:rFonts w:ascii="Calibri" w:eastAsia="新細明體" w:hAnsi="Calibri" w:cs="Calibri"/>
          <w:color w:val="0D0D0D"/>
          <w:sz w:val="20"/>
          <w:lang w:eastAsia="zh-TW"/>
        </w:rPr>
        <w:t xml:space="preserve"> </w:t>
      </w:r>
      <w:r w:rsidRPr="0001476F">
        <w:rPr>
          <w:rFonts w:ascii="Calibri" w:eastAsia="新細明體" w:hAnsi="Calibri" w:cs="Calibri"/>
          <w:color w:val="0D0D0D"/>
          <w:sz w:val="20"/>
          <w:lang w:eastAsia="zh-TW"/>
        </w:rPr>
        <w:t>“LS on BWP switching delay”, RAN4</w:t>
      </w:r>
    </w:p>
    <w:p w:rsidR="001F1422" w:rsidRDefault="001F1422" w:rsidP="001F1422">
      <w:pPr>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[5] </w:t>
      </w:r>
      <w:r w:rsidRPr="001F1422">
        <w:rPr>
          <w:rFonts w:ascii="Calibri" w:eastAsia="新細明體" w:hAnsi="Calibri" w:cs="Calibri"/>
          <w:color w:val="0D0D0D"/>
          <w:sz w:val="20"/>
          <w:lang w:eastAsia="zh-TW"/>
        </w:rPr>
        <w:t>R4-1808001</w:t>
      </w:r>
      <w:r>
        <w:rPr>
          <w:rFonts w:ascii="Calibri" w:eastAsia="新細明體" w:hAnsi="Calibri" w:cs="Calibri"/>
          <w:color w:val="0D0D0D"/>
          <w:sz w:val="20"/>
          <w:lang w:eastAsia="zh-TW"/>
        </w:rPr>
        <w:t>, “</w:t>
      </w:r>
      <w:r w:rsidRPr="001F1422">
        <w:rPr>
          <w:rFonts w:ascii="Calibri" w:eastAsia="新細明體" w:hAnsi="Calibri" w:cs="Calibri"/>
          <w:color w:val="0D0D0D"/>
          <w:sz w:val="20"/>
          <w:lang w:eastAsia="zh-TW"/>
        </w:rPr>
        <w:t>Wayforward on BWP switching</w:t>
      </w:r>
      <w:r>
        <w:rPr>
          <w:rFonts w:ascii="Calibri" w:eastAsia="新細明體" w:hAnsi="Calibri" w:cs="Calibri"/>
          <w:color w:val="0D0D0D"/>
          <w:sz w:val="20"/>
          <w:lang w:eastAsia="zh-TW"/>
        </w:rPr>
        <w:t>”,</w:t>
      </w:r>
      <w:r w:rsidRPr="001F1422">
        <w:rPr>
          <w:rFonts w:ascii="Calibri" w:eastAsia="新細明體" w:hAnsi="Calibri" w:cs="Calibri"/>
          <w:color w:val="0D0D0D"/>
          <w:sz w:val="20"/>
          <w:lang w:eastAsia="zh-TW"/>
        </w:rPr>
        <w:t xml:space="preserve"> </w:t>
      </w:r>
      <w:r w:rsidRPr="002C5D22">
        <w:rPr>
          <w:rFonts w:ascii="Calibri" w:eastAsia="新細明體" w:hAnsi="Calibri" w:cs="Calibri"/>
          <w:color w:val="0D0D0D"/>
          <w:sz w:val="20"/>
          <w:lang w:eastAsia="zh-TW"/>
        </w:rPr>
        <w:t>MediaTek</w:t>
      </w:r>
      <w:r>
        <w:rPr>
          <w:rFonts w:ascii="Calibri" w:eastAsia="新細明體" w:hAnsi="Calibri" w:cs="Calibri"/>
          <w:color w:val="0D0D0D"/>
          <w:sz w:val="20"/>
          <w:lang w:eastAsia="zh-TW"/>
        </w:rPr>
        <w:t xml:space="preserve"> inc.</w:t>
      </w:r>
    </w:p>
    <w:p w:rsidR="00DF1139" w:rsidRPr="0001476F" w:rsidRDefault="006002F7" w:rsidP="0001476F">
      <w:pPr>
        <w:rPr>
          <w:rFonts w:ascii="Calibri" w:eastAsia="新細明體" w:hAnsi="Calibri" w:cs="Calibri"/>
          <w:color w:val="0D0D0D"/>
          <w:sz w:val="20"/>
          <w:lang w:eastAsia="zh-TW"/>
        </w:rPr>
      </w:pPr>
      <w:r>
        <w:rPr>
          <w:rFonts w:ascii="Calibri" w:eastAsia="新細明體" w:hAnsi="Calibri" w:cs="Calibri"/>
          <w:color w:val="0D0D0D"/>
          <w:sz w:val="20"/>
          <w:lang w:eastAsia="zh-TW"/>
        </w:rPr>
        <w:t>[6]</w:t>
      </w:r>
      <w:r w:rsidRPr="006002F7">
        <w:t xml:space="preserve"> </w:t>
      </w:r>
      <w:r w:rsidRPr="006002F7">
        <w:rPr>
          <w:rFonts w:ascii="Calibri" w:eastAsia="新細明體" w:hAnsi="Calibri" w:cs="Calibri"/>
          <w:color w:val="0D0D0D"/>
          <w:sz w:val="20"/>
          <w:lang w:eastAsia="zh-TW"/>
        </w:rPr>
        <w:t>R4-1808836</w:t>
      </w:r>
      <w:r w:rsidR="00427CC1">
        <w:rPr>
          <w:rFonts w:ascii="Calibri" w:eastAsia="新細明體" w:hAnsi="Calibri" w:cs="Calibri"/>
          <w:color w:val="0D0D0D"/>
          <w:sz w:val="20"/>
          <w:lang w:eastAsia="zh-TW"/>
        </w:rPr>
        <w:t>, “</w:t>
      </w:r>
      <w:r w:rsidR="00427CC1" w:rsidRPr="00427CC1">
        <w:rPr>
          <w:rFonts w:ascii="Calibri" w:eastAsia="新細明體" w:hAnsi="Calibri" w:cs="Calibri"/>
          <w:color w:val="0D0D0D"/>
          <w:sz w:val="20"/>
          <w:lang w:eastAsia="zh-TW"/>
        </w:rPr>
        <w:t>BWP Switching Delay</w:t>
      </w:r>
      <w:r w:rsidR="00427CC1">
        <w:rPr>
          <w:rFonts w:ascii="Calibri" w:eastAsia="新細明體" w:hAnsi="Calibri" w:cs="Calibri"/>
          <w:color w:val="0D0D0D"/>
          <w:sz w:val="20"/>
          <w:lang w:eastAsia="zh-TW"/>
        </w:rPr>
        <w:t>”,</w:t>
      </w:r>
      <w:r w:rsidR="00427CC1" w:rsidRPr="001F1422">
        <w:rPr>
          <w:rFonts w:ascii="Calibri" w:eastAsia="新細明體" w:hAnsi="Calibri" w:cs="Calibri"/>
          <w:color w:val="0D0D0D"/>
          <w:sz w:val="20"/>
          <w:lang w:eastAsia="zh-TW"/>
        </w:rPr>
        <w:t xml:space="preserve"> </w:t>
      </w:r>
      <w:r w:rsidR="00427CC1" w:rsidRPr="002C5D22">
        <w:rPr>
          <w:rFonts w:ascii="Calibri" w:eastAsia="新細明體" w:hAnsi="Calibri" w:cs="Calibri"/>
          <w:color w:val="0D0D0D"/>
          <w:sz w:val="20"/>
          <w:lang w:eastAsia="zh-TW"/>
        </w:rPr>
        <w:t>MediaTek</w:t>
      </w:r>
      <w:r w:rsidR="00427CC1">
        <w:rPr>
          <w:rFonts w:ascii="Calibri" w:eastAsia="新細明體" w:hAnsi="Calibri" w:cs="Calibri"/>
          <w:color w:val="0D0D0D"/>
          <w:sz w:val="20"/>
          <w:lang w:eastAsia="zh-TW"/>
        </w:rPr>
        <w:t xml:space="preserve"> inc.</w:t>
      </w:r>
    </w:p>
    <w:sectPr w:rsidR="00DF1139" w:rsidRPr="0001476F"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16E" w:rsidRDefault="000E216E" w:rsidP="008B46F2">
      <w:pPr>
        <w:spacing w:after="0" w:line="240" w:lineRule="auto"/>
      </w:pPr>
      <w:r>
        <w:separator/>
      </w:r>
    </w:p>
  </w:endnote>
  <w:endnote w:type="continuationSeparator" w:id="0">
    <w:p w:rsidR="000E216E" w:rsidRDefault="000E216E"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16E" w:rsidRDefault="000E216E" w:rsidP="008B46F2">
      <w:pPr>
        <w:spacing w:after="0" w:line="240" w:lineRule="auto"/>
      </w:pPr>
      <w:r>
        <w:separator/>
      </w:r>
    </w:p>
  </w:footnote>
  <w:footnote w:type="continuationSeparator" w:id="0">
    <w:p w:rsidR="000E216E" w:rsidRDefault="000E216E"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47500"/>
    <w:multiLevelType w:val="hybridMultilevel"/>
    <w:tmpl w:val="B3288E2A"/>
    <w:lvl w:ilvl="0" w:tplc="88D247F2">
      <w:start w:val="1"/>
      <w:numFmt w:val="bullet"/>
      <w:lvlText w:val="•"/>
      <w:lvlJc w:val="left"/>
      <w:pPr>
        <w:tabs>
          <w:tab w:val="num" w:pos="720"/>
        </w:tabs>
        <w:ind w:left="720" w:hanging="360"/>
      </w:pPr>
      <w:rPr>
        <w:rFonts w:ascii="Arial" w:hAnsi="Arial" w:hint="default"/>
      </w:rPr>
    </w:lvl>
    <w:lvl w:ilvl="1" w:tplc="6AD83EBC">
      <w:start w:val="1"/>
      <w:numFmt w:val="bullet"/>
      <w:lvlText w:val="•"/>
      <w:lvlJc w:val="left"/>
      <w:pPr>
        <w:tabs>
          <w:tab w:val="num" w:pos="1440"/>
        </w:tabs>
        <w:ind w:left="1440" w:hanging="360"/>
      </w:pPr>
      <w:rPr>
        <w:rFonts w:ascii="Arial" w:hAnsi="Arial" w:hint="default"/>
      </w:rPr>
    </w:lvl>
    <w:lvl w:ilvl="2" w:tplc="26EC7DCA" w:tentative="1">
      <w:start w:val="1"/>
      <w:numFmt w:val="bullet"/>
      <w:lvlText w:val="•"/>
      <w:lvlJc w:val="left"/>
      <w:pPr>
        <w:tabs>
          <w:tab w:val="num" w:pos="2160"/>
        </w:tabs>
        <w:ind w:left="2160" w:hanging="360"/>
      </w:pPr>
      <w:rPr>
        <w:rFonts w:ascii="Arial" w:hAnsi="Arial" w:hint="default"/>
      </w:rPr>
    </w:lvl>
    <w:lvl w:ilvl="3" w:tplc="2EC81146" w:tentative="1">
      <w:start w:val="1"/>
      <w:numFmt w:val="bullet"/>
      <w:lvlText w:val="•"/>
      <w:lvlJc w:val="left"/>
      <w:pPr>
        <w:tabs>
          <w:tab w:val="num" w:pos="2880"/>
        </w:tabs>
        <w:ind w:left="2880" w:hanging="360"/>
      </w:pPr>
      <w:rPr>
        <w:rFonts w:ascii="Arial" w:hAnsi="Arial" w:hint="default"/>
      </w:rPr>
    </w:lvl>
    <w:lvl w:ilvl="4" w:tplc="F550A168" w:tentative="1">
      <w:start w:val="1"/>
      <w:numFmt w:val="bullet"/>
      <w:lvlText w:val="•"/>
      <w:lvlJc w:val="left"/>
      <w:pPr>
        <w:tabs>
          <w:tab w:val="num" w:pos="3600"/>
        </w:tabs>
        <w:ind w:left="3600" w:hanging="360"/>
      </w:pPr>
      <w:rPr>
        <w:rFonts w:ascii="Arial" w:hAnsi="Arial" w:hint="default"/>
      </w:rPr>
    </w:lvl>
    <w:lvl w:ilvl="5" w:tplc="796EDB1C" w:tentative="1">
      <w:start w:val="1"/>
      <w:numFmt w:val="bullet"/>
      <w:lvlText w:val="•"/>
      <w:lvlJc w:val="left"/>
      <w:pPr>
        <w:tabs>
          <w:tab w:val="num" w:pos="4320"/>
        </w:tabs>
        <w:ind w:left="4320" w:hanging="360"/>
      </w:pPr>
      <w:rPr>
        <w:rFonts w:ascii="Arial" w:hAnsi="Arial" w:hint="default"/>
      </w:rPr>
    </w:lvl>
    <w:lvl w:ilvl="6" w:tplc="5F62940C" w:tentative="1">
      <w:start w:val="1"/>
      <w:numFmt w:val="bullet"/>
      <w:lvlText w:val="•"/>
      <w:lvlJc w:val="left"/>
      <w:pPr>
        <w:tabs>
          <w:tab w:val="num" w:pos="5040"/>
        </w:tabs>
        <w:ind w:left="5040" w:hanging="360"/>
      </w:pPr>
      <w:rPr>
        <w:rFonts w:ascii="Arial" w:hAnsi="Arial" w:hint="default"/>
      </w:rPr>
    </w:lvl>
    <w:lvl w:ilvl="7" w:tplc="150E184C" w:tentative="1">
      <w:start w:val="1"/>
      <w:numFmt w:val="bullet"/>
      <w:lvlText w:val="•"/>
      <w:lvlJc w:val="left"/>
      <w:pPr>
        <w:tabs>
          <w:tab w:val="num" w:pos="5760"/>
        </w:tabs>
        <w:ind w:left="5760" w:hanging="360"/>
      </w:pPr>
      <w:rPr>
        <w:rFonts w:ascii="Arial" w:hAnsi="Arial" w:hint="default"/>
      </w:rPr>
    </w:lvl>
    <w:lvl w:ilvl="8" w:tplc="6A76B7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7"/>
  </w:num>
  <w:num w:numId="4">
    <w:abstractNumId w:val="1"/>
  </w:num>
  <w:num w:numId="5">
    <w:abstractNumId w:val="14"/>
  </w:num>
  <w:num w:numId="6">
    <w:abstractNumId w:val="15"/>
  </w:num>
  <w:num w:numId="7">
    <w:abstractNumId w:val="10"/>
  </w:num>
  <w:num w:numId="8">
    <w:abstractNumId w:val="3"/>
  </w:num>
  <w:num w:numId="9">
    <w:abstractNumId w:val="4"/>
  </w:num>
  <w:num w:numId="10">
    <w:abstractNumId w:val="0"/>
  </w:num>
  <w:num w:numId="11">
    <w:abstractNumId w:val="9"/>
  </w:num>
  <w:num w:numId="12">
    <w:abstractNumId w:val="13"/>
  </w:num>
  <w:num w:numId="13">
    <w:abstractNumId w:val="5"/>
  </w:num>
  <w:num w:numId="14">
    <w:abstractNumId w:val="16"/>
  </w:num>
  <w:num w:numId="15">
    <w:abstractNumId w:val="8"/>
  </w:num>
  <w:num w:numId="16">
    <w:abstractNumId w:val="2"/>
  </w:num>
  <w:num w:numId="17">
    <w:abstractNumId w:val="11"/>
  </w:num>
  <w:num w:numId="1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D39"/>
    <w:rsid w:val="00005F93"/>
    <w:rsid w:val="000124A6"/>
    <w:rsid w:val="0001476F"/>
    <w:rsid w:val="000200EB"/>
    <w:rsid w:val="00025EAD"/>
    <w:rsid w:val="00040AE5"/>
    <w:rsid w:val="00045178"/>
    <w:rsid w:val="0004581B"/>
    <w:rsid w:val="00051BFF"/>
    <w:rsid w:val="00052C73"/>
    <w:rsid w:val="00053C66"/>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1009C1"/>
    <w:rsid w:val="00101E81"/>
    <w:rsid w:val="00102018"/>
    <w:rsid w:val="0010295D"/>
    <w:rsid w:val="00104301"/>
    <w:rsid w:val="001045F6"/>
    <w:rsid w:val="001053AF"/>
    <w:rsid w:val="001057E4"/>
    <w:rsid w:val="00106492"/>
    <w:rsid w:val="001102B8"/>
    <w:rsid w:val="0011370F"/>
    <w:rsid w:val="00121A43"/>
    <w:rsid w:val="00122F51"/>
    <w:rsid w:val="001249B3"/>
    <w:rsid w:val="00124F09"/>
    <w:rsid w:val="00124FD2"/>
    <w:rsid w:val="001253A0"/>
    <w:rsid w:val="00131E64"/>
    <w:rsid w:val="00132E46"/>
    <w:rsid w:val="00142A74"/>
    <w:rsid w:val="00142F86"/>
    <w:rsid w:val="00143177"/>
    <w:rsid w:val="00143658"/>
    <w:rsid w:val="00150268"/>
    <w:rsid w:val="001507E0"/>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F41"/>
    <w:rsid w:val="00184A85"/>
    <w:rsid w:val="001862A6"/>
    <w:rsid w:val="00187218"/>
    <w:rsid w:val="00190C6C"/>
    <w:rsid w:val="001910FC"/>
    <w:rsid w:val="001916A4"/>
    <w:rsid w:val="00191CCD"/>
    <w:rsid w:val="0019455F"/>
    <w:rsid w:val="00194D12"/>
    <w:rsid w:val="00195D5F"/>
    <w:rsid w:val="00196DBD"/>
    <w:rsid w:val="001A0A87"/>
    <w:rsid w:val="001A4683"/>
    <w:rsid w:val="001A54E1"/>
    <w:rsid w:val="001A62A5"/>
    <w:rsid w:val="001B363A"/>
    <w:rsid w:val="001B579F"/>
    <w:rsid w:val="001C41AB"/>
    <w:rsid w:val="001C4BF2"/>
    <w:rsid w:val="001D257C"/>
    <w:rsid w:val="001E160E"/>
    <w:rsid w:val="001E5079"/>
    <w:rsid w:val="001E6A15"/>
    <w:rsid w:val="001E6B2B"/>
    <w:rsid w:val="001F1422"/>
    <w:rsid w:val="001F2C71"/>
    <w:rsid w:val="001F3963"/>
    <w:rsid w:val="001F3A50"/>
    <w:rsid w:val="001F5CF3"/>
    <w:rsid w:val="001F70A4"/>
    <w:rsid w:val="00206812"/>
    <w:rsid w:val="00206BED"/>
    <w:rsid w:val="00214420"/>
    <w:rsid w:val="00214F29"/>
    <w:rsid w:val="00214FB5"/>
    <w:rsid w:val="00216288"/>
    <w:rsid w:val="00217505"/>
    <w:rsid w:val="00221265"/>
    <w:rsid w:val="00221717"/>
    <w:rsid w:val="00222B9C"/>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82F42"/>
    <w:rsid w:val="002837BE"/>
    <w:rsid w:val="00290EB5"/>
    <w:rsid w:val="00292CCC"/>
    <w:rsid w:val="002942C0"/>
    <w:rsid w:val="00295E51"/>
    <w:rsid w:val="00295E8D"/>
    <w:rsid w:val="002A202E"/>
    <w:rsid w:val="002A392D"/>
    <w:rsid w:val="002A555A"/>
    <w:rsid w:val="002B01FE"/>
    <w:rsid w:val="002B072E"/>
    <w:rsid w:val="002B0E88"/>
    <w:rsid w:val="002B2097"/>
    <w:rsid w:val="002B521C"/>
    <w:rsid w:val="002C1909"/>
    <w:rsid w:val="002C1C95"/>
    <w:rsid w:val="002C1FEC"/>
    <w:rsid w:val="002C285C"/>
    <w:rsid w:val="002C51B9"/>
    <w:rsid w:val="002C5D22"/>
    <w:rsid w:val="002C6830"/>
    <w:rsid w:val="002C71EF"/>
    <w:rsid w:val="002D0B61"/>
    <w:rsid w:val="002D1433"/>
    <w:rsid w:val="002D2689"/>
    <w:rsid w:val="002D6067"/>
    <w:rsid w:val="002D655E"/>
    <w:rsid w:val="002E1961"/>
    <w:rsid w:val="002E423B"/>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7CB3"/>
    <w:rsid w:val="003225F1"/>
    <w:rsid w:val="00324B1E"/>
    <w:rsid w:val="0033075A"/>
    <w:rsid w:val="00331B27"/>
    <w:rsid w:val="00332B16"/>
    <w:rsid w:val="00337EC4"/>
    <w:rsid w:val="00342262"/>
    <w:rsid w:val="0034272F"/>
    <w:rsid w:val="00355C00"/>
    <w:rsid w:val="003572BA"/>
    <w:rsid w:val="00361114"/>
    <w:rsid w:val="003621EF"/>
    <w:rsid w:val="003727B8"/>
    <w:rsid w:val="003732D8"/>
    <w:rsid w:val="003765A0"/>
    <w:rsid w:val="003779CD"/>
    <w:rsid w:val="00384A15"/>
    <w:rsid w:val="00390F86"/>
    <w:rsid w:val="00394E39"/>
    <w:rsid w:val="00395315"/>
    <w:rsid w:val="00396723"/>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3889"/>
    <w:rsid w:val="003E39ED"/>
    <w:rsid w:val="003F0E9A"/>
    <w:rsid w:val="003F4C52"/>
    <w:rsid w:val="003F69F7"/>
    <w:rsid w:val="00403ED0"/>
    <w:rsid w:val="00404714"/>
    <w:rsid w:val="00405966"/>
    <w:rsid w:val="004149C3"/>
    <w:rsid w:val="00416D77"/>
    <w:rsid w:val="00421D97"/>
    <w:rsid w:val="00421F6B"/>
    <w:rsid w:val="0042222E"/>
    <w:rsid w:val="00422B53"/>
    <w:rsid w:val="00426796"/>
    <w:rsid w:val="00427CC1"/>
    <w:rsid w:val="00427FD4"/>
    <w:rsid w:val="0043034F"/>
    <w:rsid w:val="00435DE8"/>
    <w:rsid w:val="00436FE5"/>
    <w:rsid w:val="00440799"/>
    <w:rsid w:val="00441219"/>
    <w:rsid w:val="00441291"/>
    <w:rsid w:val="0044171D"/>
    <w:rsid w:val="004426A6"/>
    <w:rsid w:val="00447C8A"/>
    <w:rsid w:val="00455FE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3B42"/>
    <w:rsid w:val="00494E74"/>
    <w:rsid w:val="00495B09"/>
    <w:rsid w:val="00496B80"/>
    <w:rsid w:val="004976C5"/>
    <w:rsid w:val="004A5BF0"/>
    <w:rsid w:val="004A601B"/>
    <w:rsid w:val="004A6A31"/>
    <w:rsid w:val="004A7E06"/>
    <w:rsid w:val="004B2BFE"/>
    <w:rsid w:val="004B3278"/>
    <w:rsid w:val="004C0E5F"/>
    <w:rsid w:val="004C1E3A"/>
    <w:rsid w:val="004C40CC"/>
    <w:rsid w:val="004C5A8D"/>
    <w:rsid w:val="004C64BD"/>
    <w:rsid w:val="004D04F9"/>
    <w:rsid w:val="004D05EF"/>
    <w:rsid w:val="004D4753"/>
    <w:rsid w:val="004E09E4"/>
    <w:rsid w:val="004E3927"/>
    <w:rsid w:val="004E4887"/>
    <w:rsid w:val="004E4955"/>
    <w:rsid w:val="004F3668"/>
    <w:rsid w:val="004F497A"/>
    <w:rsid w:val="004F77A6"/>
    <w:rsid w:val="00502D59"/>
    <w:rsid w:val="00503AD1"/>
    <w:rsid w:val="00505955"/>
    <w:rsid w:val="005059EE"/>
    <w:rsid w:val="00506AD8"/>
    <w:rsid w:val="005109F5"/>
    <w:rsid w:val="0051325B"/>
    <w:rsid w:val="00515004"/>
    <w:rsid w:val="0051555B"/>
    <w:rsid w:val="00516C88"/>
    <w:rsid w:val="00517915"/>
    <w:rsid w:val="00520902"/>
    <w:rsid w:val="0052200C"/>
    <w:rsid w:val="005226D7"/>
    <w:rsid w:val="0052399A"/>
    <w:rsid w:val="00524946"/>
    <w:rsid w:val="005266D0"/>
    <w:rsid w:val="005340C0"/>
    <w:rsid w:val="00534F6E"/>
    <w:rsid w:val="00535129"/>
    <w:rsid w:val="00537F65"/>
    <w:rsid w:val="005424C8"/>
    <w:rsid w:val="0054550E"/>
    <w:rsid w:val="00547527"/>
    <w:rsid w:val="005515B0"/>
    <w:rsid w:val="00560D26"/>
    <w:rsid w:val="005722FF"/>
    <w:rsid w:val="005806E2"/>
    <w:rsid w:val="0058123B"/>
    <w:rsid w:val="00583831"/>
    <w:rsid w:val="00585012"/>
    <w:rsid w:val="00585A06"/>
    <w:rsid w:val="005865DF"/>
    <w:rsid w:val="00587CCC"/>
    <w:rsid w:val="00590862"/>
    <w:rsid w:val="00590D9F"/>
    <w:rsid w:val="005917E4"/>
    <w:rsid w:val="00592813"/>
    <w:rsid w:val="00593178"/>
    <w:rsid w:val="00593B3B"/>
    <w:rsid w:val="005A0D71"/>
    <w:rsid w:val="005A15EA"/>
    <w:rsid w:val="005B1303"/>
    <w:rsid w:val="005B1696"/>
    <w:rsid w:val="005B20E8"/>
    <w:rsid w:val="005B4374"/>
    <w:rsid w:val="005B4DFB"/>
    <w:rsid w:val="005B57B2"/>
    <w:rsid w:val="005C06E9"/>
    <w:rsid w:val="005C356C"/>
    <w:rsid w:val="005C7745"/>
    <w:rsid w:val="005D28A7"/>
    <w:rsid w:val="005D2CD0"/>
    <w:rsid w:val="005D5851"/>
    <w:rsid w:val="005E0052"/>
    <w:rsid w:val="005E232D"/>
    <w:rsid w:val="005E25B8"/>
    <w:rsid w:val="005E2A85"/>
    <w:rsid w:val="005E41E1"/>
    <w:rsid w:val="005F0967"/>
    <w:rsid w:val="005F79A9"/>
    <w:rsid w:val="006002F7"/>
    <w:rsid w:val="00600F57"/>
    <w:rsid w:val="00602705"/>
    <w:rsid w:val="006032C0"/>
    <w:rsid w:val="006058DA"/>
    <w:rsid w:val="00606D6A"/>
    <w:rsid w:val="00611FCD"/>
    <w:rsid w:val="00614909"/>
    <w:rsid w:val="00614A7D"/>
    <w:rsid w:val="00615773"/>
    <w:rsid w:val="00616A16"/>
    <w:rsid w:val="00621020"/>
    <w:rsid w:val="00622539"/>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76E5"/>
    <w:rsid w:val="006502BE"/>
    <w:rsid w:val="006534DB"/>
    <w:rsid w:val="00655D3D"/>
    <w:rsid w:val="0066047D"/>
    <w:rsid w:val="00660484"/>
    <w:rsid w:val="00666EC0"/>
    <w:rsid w:val="006720CC"/>
    <w:rsid w:val="00672603"/>
    <w:rsid w:val="0067409D"/>
    <w:rsid w:val="006814B5"/>
    <w:rsid w:val="00685EE7"/>
    <w:rsid w:val="00685F43"/>
    <w:rsid w:val="00687F98"/>
    <w:rsid w:val="00692551"/>
    <w:rsid w:val="0069259D"/>
    <w:rsid w:val="00693CDA"/>
    <w:rsid w:val="006A33D4"/>
    <w:rsid w:val="006A59E7"/>
    <w:rsid w:val="006A7A64"/>
    <w:rsid w:val="006B0294"/>
    <w:rsid w:val="006B047F"/>
    <w:rsid w:val="006B12DA"/>
    <w:rsid w:val="006B23B0"/>
    <w:rsid w:val="006B7556"/>
    <w:rsid w:val="006B76E4"/>
    <w:rsid w:val="006C02D2"/>
    <w:rsid w:val="006D20C2"/>
    <w:rsid w:val="006E0653"/>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415C"/>
    <w:rsid w:val="00724351"/>
    <w:rsid w:val="00727635"/>
    <w:rsid w:val="00732B63"/>
    <w:rsid w:val="00732D0E"/>
    <w:rsid w:val="007339C2"/>
    <w:rsid w:val="00733D4F"/>
    <w:rsid w:val="00740C3A"/>
    <w:rsid w:val="00743693"/>
    <w:rsid w:val="00744AEF"/>
    <w:rsid w:val="0074573E"/>
    <w:rsid w:val="0075034F"/>
    <w:rsid w:val="00756C43"/>
    <w:rsid w:val="007626A3"/>
    <w:rsid w:val="007633BC"/>
    <w:rsid w:val="00764B68"/>
    <w:rsid w:val="0076595D"/>
    <w:rsid w:val="00766477"/>
    <w:rsid w:val="00772878"/>
    <w:rsid w:val="007807F4"/>
    <w:rsid w:val="00781BA0"/>
    <w:rsid w:val="00786FC5"/>
    <w:rsid w:val="00790A36"/>
    <w:rsid w:val="00791BDC"/>
    <w:rsid w:val="00797684"/>
    <w:rsid w:val="00797A38"/>
    <w:rsid w:val="007A0A2D"/>
    <w:rsid w:val="007A2398"/>
    <w:rsid w:val="007A42E9"/>
    <w:rsid w:val="007B5A95"/>
    <w:rsid w:val="007C2F19"/>
    <w:rsid w:val="007C4070"/>
    <w:rsid w:val="007C69DE"/>
    <w:rsid w:val="007D1446"/>
    <w:rsid w:val="007D55DB"/>
    <w:rsid w:val="007E2F64"/>
    <w:rsid w:val="007E5F83"/>
    <w:rsid w:val="007E6901"/>
    <w:rsid w:val="007E767B"/>
    <w:rsid w:val="007E7F43"/>
    <w:rsid w:val="007F5938"/>
    <w:rsid w:val="0080175B"/>
    <w:rsid w:val="008123CF"/>
    <w:rsid w:val="00813580"/>
    <w:rsid w:val="00813ABA"/>
    <w:rsid w:val="00814740"/>
    <w:rsid w:val="00815528"/>
    <w:rsid w:val="00815FE4"/>
    <w:rsid w:val="0082275E"/>
    <w:rsid w:val="00823E1B"/>
    <w:rsid w:val="008245D8"/>
    <w:rsid w:val="00825482"/>
    <w:rsid w:val="00825D95"/>
    <w:rsid w:val="00826C44"/>
    <w:rsid w:val="0083043F"/>
    <w:rsid w:val="00831533"/>
    <w:rsid w:val="00833628"/>
    <w:rsid w:val="00840449"/>
    <w:rsid w:val="00843F23"/>
    <w:rsid w:val="00850DD6"/>
    <w:rsid w:val="00853AAE"/>
    <w:rsid w:val="00855608"/>
    <w:rsid w:val="00856944"/>
    <w:rsid w:val="00863843"/>
    <w:rsid w:val="00864158"/>
    <w:rsid w:val="00864F8E"/>
    <w:rsid w:val="00865E0A"/>
    <w:rsid w:val="0087195F"/>
    <w:rsid w:val="00873DE4"/>
    <w:rsid w:val="008766EC"/>
    <w:rsid w:val="00880EA6"/>
    <w:rsid w:val="00885174"/>
    <w:rsid w:val="0089738D"/>
    <w:rsid w:val="008A1824"/>
    <w:rsid w:val="008A4FC6"/>
    <w:rsid w:val="008A55AB"/>
    <w:rsid w:val="008B358F"/>
    <w:rsid w:val="008B46F2"/>
    <w:rsid w:val="008B6D18"/>
    <w:rsid w:val="008B6FAF"/>
    <w:rsid w:val="008C0DCB"/>
    <w:rsid w:val="008C1AB9"/>
    <w:rsid w:val="008C77BE"/>
    <w:rsid w:val="008D096D"/>
    <w:rsid w:val="008D15E8"/>
    <w:rsid w:val="008D2B06"/>
    <w:rsid w:val="008D4ADB"/>
    <w:rsid w:val="008D6865"/>
    <w:rsid w:val="008D6910"/>
    <w:rsid w:val="008E1E56"/>
    <w:rsid w:val="008E5E49"/>
    <w:rsid w:val="008E7348"/>
    <w:rsid w:val="008F0B55"/>
    <w:rsid w:val="008F0C5C"/>
    <w:rsid w:val="008F4302"/>
    <w:rsid w:val="008F6051"/>
    <w:rsid w:val="008F73A0"/>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B0893"/>
    <w:rsid w:val="009B1E8F"/>
    <w:rsid w:val="009B3F92"/>
    <w:rsid w:val="009B576B"/>
    <w:rsid w:val="009B763C"/>
    <w:rsid w:val="009B7802"/>
    <w:rsid w:val="009B7969"/>
    <w:rsid w:val="009C5E6C"/>
    <w:rsid w:val="009C60D6"/>
    <w:rsid w:val="009C68D1"/>
    <w:rsid w:val="009C7E8C"/>
    <w:rsid w:val="009D240B"/>
    <w:rsid w:val="009D277A"/>
    <w:rsid w:val="009D414E"/>
    <w:rsid w:val="009E436A"/>
    <w:rsid w:val="009F0192"/>
    <w:rsid w:val="009F10E9"/>
    <w:rsid w:val="009F53CF"/>
    <w:rsid w:val="009F5703"/>
    <w:rsid w:val="00A04A49"/>
    <w:rsid w:val="00A05924"/>
    <w:rsid w:val="00A06750"/>
    <w:rsid w:val="00A10095"/>
    <w:rsid w:val="00A124E5"/>
    <w:rsid w:val="00A173ED"/>
    <w:rsid w:val="00A2336F"/>
    <w:rsid w:val="00A23B97"/>
    <w:rsid w:val="00A26621"/>
    <w:rsid w:val="00A335AF"/>
    <w:rsid w:val="00A37352"/>
    <w:rsid w:val="00A37F9F"/>
    <w:rsid w:val="00A40DA0"/>
    <w:rsid w:val="00A447ED"/>
    <w:rsid w:val="00A44DFE"/>
    <w:rsid w:val="00A47474"/>
    <w:rsid w:val="00A501B7"/>
    <w:rsid w:val="00A52F2C"/>
    <w:rsid w:val="00A563D2"/>
    <w:rsid w:val="00A5653E"/>
    <w:rsid w:val="00A64D5D"/>
    <w:rsid w:val="00A70087"/>
    <w:rsid w:val="00A72E25"/>
    <w:rsid w:val="00A73AF2"/>
    <w:rsid w:val="00A82614"/>
    <w:rsid w:val="00A82910"/>
    <w:rsid w:val="00A846B8"/>
    <w:rsid w:val="00A84C9A"/>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573E"/>
    <w:rsid w:val="00AD6EF3"/>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71D"/>
    <w:rsid w:val="00B46E1F"/>
    <w:rsid w:val="00B479B0"/>
    <w:rsid w:val="00B47CEF"/>
    <w:rsid w:val="00B500C9"/>
    <w:rsid w:val="00B50C6F"/>
    <w:rsid w:val="00B50DD3"/>
    <w:rsid w:val="00B52558"/>
    <w:rsid w:val="00B52A49"/>
    <w:rsid w:val="00B53228"/>
    <w:rsid w:val="00B539DA"/>
    <w:rsid w:val="00B546BC"/>
    <w:rsid w:val="00B60E69"/>
    <w:rsid w:val="00B6226A"/>
    <w:rsid w:val="00B63111"/>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44DE"/>
    <w:rsid w:val="00BF5D78"/>
    <w:rsid w:val="00BF7926"/>
    <w:rsid w:val="00C009F9"/>
    <w:rsid w:val="00C0526A"/>
    <w:rsid w:val="00C06792"/>
    <w:rsid w:val="00C1414C"/>
    <w:rsid w:val="00C17988"/>
    <w:rsid w:val="00C20C04"/>
    <w:rsid w:val="00C23DB6"/>
    <w:rsid w:val="00C26F37"/>
    <w:rsid w:val="00C31B05"/>
    <w:rsid w:val="00C328AB"/>
    <w:rsid w:val="00C3475D"/>
    <w:rsid w:val="00C41C6C"/>
    <w:rsid w:val="00C43876"/>
    <w:rsid w:val="00C449AA"/>
    <w:rsid w:val="00C457C6"/>
    <w:rsid w:val="00C46D5B"/>
    <w:rsid w:val="00C470F0"/>
    <w:rsid w:val="00C51367"/>
    <w:rsid w:val="00C5178A"/>
    <w:rsid w:val="00C51E48"/>
    <w:rsid w:val="00C51ED5"/>
    <w:rsid w:val="00C53920"/>
    <w:rsid w:val="00C630D1"/>
    <w:rsid w:val="00C63433"/>
    <w:rsid w:val="00C64469"/>
    <w:rsid w:val="00C714B1"/>
    <w:rsid w:val="00C772C1"/>
    <w:rsid w:val="00C8046B"/>
    <w:rsid w:val="00C82393"/>
    <w:rsid w:val="00C82F7B"/>
    <w:rsid w:val="00C84C5E"/>
    <w:rsid w:val="00C85414"/>
    <w:rsid w:val="00C8562F"/>
    <w:rsid w:val="00C873C8"/>
    <w:rsid w:val="00C91CE2"/>
    <w:rsid w:val="00C956FD"/>
    <w:rsid w:val="00C97EC6"/>
    <w:rsid w:val="00CA2000"/>
    <w:rsid w:val="00CA4215"/>
    <w:rsid w:val="00CA5411"/>
    <w:rsid w:val="00CA7C42"/>
    <w:rsid w:val="00CB5FB6"/>
    <w:rsid w:val="00CC12EE"/>
    <w:rsid w:val="00CC1F87"/>
    <w:rsid w:val="00CC21E9"/>
    <w:rsid w:val="00CC5401"/>
    <w:rsid w:val="00CC5EDA"/>
    <w:rsid w:val="00CC7B9A"/>
    <w:rsid w:val="00CD113A"/>
    <w:rsid w:val="00CD205A"/>
    <w:rsid w:val="00CD21AB"/>
    <w:rsid w:val="00CD46DB"/>
    <w:rsid w:val="00CD4ACC"/>
    <w:rsid w:val="00CD6583"/>
    <w:rsid w:val="00CD6FFE"/>
    <w:rsid w:val="00CE2631"/>
    <w:rsid w:val="00CE33C6"/>
    <w:rsid w:val="00CE62B9"/>
    <w:rsid w:val="00CE752A"/>
    <w:rsid w:val="00CF05BF"/>
    <w:rsid w:val="00CF124C"/>
    <w:rsid w:val="00CF5247"/>
    <w:rsid w:val="00CF7ED8"/>
    <w:rsid w:val="00D015C7"/>
    <w:rsid w:val="00D01813"/>
    <w:rsid w:val="00D04252"/>
    <w:rsid w:val="00D0599B"/>
    <w:rsid w:val="00D05E7D"/>
    <w:rsid w:val="00D070E7"/>
    <w:rsid w:val="00D111BF"/>
    <w:rsid w:val="00D12E50"/>
    <w:rsid w:val="00D1653D"/>
    <w:rsid w:val="00D206FE"/>
    <w:rsid w:val="00D20DFD"/>
    <w:rsid w:val="00D23CED"/>
    <w:rsid w:val="00D244FA"/>
    <w:rsid w:val="00D2625B"/>
    <w:rsid w:val="00D304B3"/>
    <w:rsid w:val="00D31DB3"/>
    <w:rsid w:val="00D341DE"/>
    <w:rsid w:val="00D35B22"/>
    <w:rsid w:val="00D37F00"/>
    <w:rsid w:val="00D416B5"/>
    <w:rsid w:val="00D4254C"/>
    <w:rsid w:val="00D4469C"/>
    <w:rsid w:val="00D4678A"/>
    <w:rsid w:val="00D50D1B"/>
    <w:rsid w:val="00D52DD6"/>
    <w:rsid w:val="00D53BD4"/>
    <w:rsid w:val="00D560E1"/>
    <w:rsid w:val="00D60378"/>
    <w:rsid w:val="00D60BC0"/>
    <w:rsid w:val="00D6434F"/>
    <w:rsid w:val="00D66D0F"/>
    <w:rsid w:val="00D7349E"/>
    <w:rsid w:val="00D765CB"/>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6D5B"/>
    <w:rsid w:val="00DC0875"/>
    <w:rsid w:val="00DC0D99"/>
    <w:rsid w:val="00DC183E"/>
    <w:rsid w:val="00DC1FE8"/>
    <w:rsid w:val="00DC36C0"/>
    <w:rsid w:val="00DC7419"/>
    <w:rsid w:val="00DD1DF3"/>
    <w:rsid w:val="00DD632D"/>
    <w:rsid w:val="00DD7D59"/>
    <w:rsid w:val="00DE2B6F"/>
    <w:rsid w:val="00DE3494"/>
    <w:rsid w:val="00DF1139"/>
    <w:rsid w:val="00DF16F2"/>
    <w:rsid w:val="00DF39E2"/>
    <w:rsid w:val="00DF639F"/>
    <w:rsid w:val="00E00789"/>
    <w:rsid w:val="00E01360"/>
    <w:rsid w:val="00E055C3"/>
    <w:rsid w:val="00E10336"/>
    <w:rsid w:val="00E1073D"/>
    <w:rsid w:val="00E1201C"/>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641C"/>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391A"/>
    <w:rsid w:val="00EB53A0"/>
    <w:rsid w:val="00EB594F"/>
    <w:rsid w:val="00EB647E"/>
    <w:rsid w:val="00EB68ED"/>
    <w:rsid w:val="00EB6AA0"/>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2EC6"/>
    <w:rsid w:val="00F03B91"/>
    <w:rsid w:val="00F0523E"/>
    <w:rsid w:val="00F0588F"/>
    <w:rsid w:val="00F05AF8"/>
    <w:rsid w:val="00F06B51"/>
    <w:rsid w:val="00F06D85"/>
    <w:rsid w:val="00F203CD"/>
    <w:rsid w:val="00F247B0"/>
    <w:rsid w:val="00F24C7F"/>
    <w:rsid w:val="00F25FD4"/>
    <w:rsid w:val="00F26B5C"/>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8A8"/>
    <w:rsid w:val="00F952EB"/>
    <w:rsid w:val="00FA0168"/>
    <w:rsid w:val="00FA496E"/>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0D429-B5EF-42C0-B188-FA2D8598D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5</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254</cp:revision>
  <dcterms:created xsi:type="dcterms:W3CDTF">2018-01-15T06:05:00Z</dcterms:created>
  <dcterms:modified xsi:type="dcterms:W3CDTF">2018-08-09T13:04:00Z</dcterms:modified>
</cp:coreProperties>
</file>